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bCs/>
          <w:color w:val="000000"/>
          <w:w w:val="110"/>
          <w:sz w:val="52"/>
          <w:szCs w:val="52"/>
          <w:lang w:eastAsia="zh-CN"/>
        </w:rPr>
      </w:pPr>
    </w:p>
    <w:p>
      <w:pPr>
        <w:jc w:val="center"/>
        <w:rPr>
          <w:rFonts w:hint="eastAsia"/>
          <w:b/>
          <w:bCs/>
          <w:color w:val="000000"/>
          <w:sz w:val="52"/>
          <w:szCs w:val="52"/>
          <w:lang w:eastAsia="zh-CN"/>
        </w:rPr>
      </w:pPr>
      <w:r>
        <w:rPr>
          <w:rFonts w:hint="eastAsia" w:ascii="黑体" w:hAnsi="黑体" w:eastAsia="黑体" w:cs="黑体"/>
          <w:b/>
          <w:bCs/>
          <w:color w:val="000000"/>
          <w:w w:val="110"/>
          <w:sz w:val="52"/>
          <w:szCs w:val="52"/>
          <w:lang w:eastAsia="zh-CN"/>
        </w:rPr>
        <w:t>中国</w:t>
      </w:r>
      <w:r>
        <w:rPr>
          <w:rFonts w:hint="eastAsia" w:ascii="黑体" w:hAnsi="黑体" w:eastAsia="黑体" w:cs="黑体"/>
          <w:b/>
          <w:bCs/>
          <w:color w:val="000000"/>
          <w:w w:val="110"/>
          <w:sz w:val="52"/>
          <w:szCs w:val="52"/>
        </w:rPr>
        <w:t>人民银行</w:t>
      </w:r>
      <w:r>
        <w:rPr>
          <w:rFonts w:hint="eastAsia" w:ascii="黑体" w:hAnsi="黑体" w:eastAsia="黑体" w:cs="黑体"/>
          <w:b/>
          <w:bCs/>
          <w:color w:val="000000"/>
          <w:w w:val="110"/>
          <w:sz w:val="52"/>
          <w:szCs w:val="52"/>
          <w:u w:val="none" w:color="auto"/>
          <w:lang w:eastAsia="zh-CN"/>
        </w:rPr>
        <w:t>青岛市分行</w:t>
      </w:r>
    </w:p>
    <w:p>
      <w:pPr>
        <w:jc w:val="center"/>
        <w:rPr>
          <w:rFonts w:hint="eastAsia" w:ascii="黑体" w:hAnsi="黑体" w:eastAsia="黑体" w:cs="黑体"/>
          <w:b/>
          <w:bCs/>
          <w:color w:val="000000"/>
          <w:sz w:val="52"/>
          <w:szCs w:val="52"/>
        </w:rPr>
      </w:pPr>
      <w:r>
        <w:rPr>
          <w:rFonts w:hint="eastAsia" w:ascii="黑体" w:hAnsi="黑体" w:eastAsia="黑体" w:cs="黑体"/>
          <w:b/>
          <w:bCs/>
          <w:color w:val="000000"/>
          <w:sz w:val="52"/>
          <w:szCs w:val="52"/>
          <w:lang w:val="en-US" w:eastAsia="zh-CN"/>
        </w:rPr>
        <w:t>行政审批</w:t>
      </w:r>
      <w:r>
        <w:rPr>
          <w:rFonts w:hint="eastAsia" w:ascii="黑体" w:hAnsi="黑体" w:eastAsia="黑体" w:cs="黑体"/>
          <w:b/>
          <w:bCs/>
          <w:color w:val="000000"/>
          <w:sz w:val="52"/>
          <w:szCs w:val="52"/>
        </w:rPr>
        <w:t>指南</w:t>
      </w:r>
    </w:p>
    <w:p>
      <w:pPr>
        <w:rPr>
          <w:rFonts w:hint="eastAsia"/>
          <w:color w:val="000000"/>
          <w:sz w:val="28"/>
          <w:szCs w:val="28"/>
          <w:u w:val="single"/>
        </w:rPr>
      </w:pPr>
    </w:p>
    <w:p>
      <w:pPr>
        <w:rPr>
          <w:rFonts w:hint="eastAsia"/>
          <w:color w:val="000000"/>
          <w:sz w:val="28"/>
          <w:szCs w:val="28"/>
          <w:u w:val="single"/>
        </w:rPr>
      </w:pPr>
    </w:p>
    <w:p>
      <w:pPr>
        <w:rPr>
          <w:rFonts w:hint="eastAsia"/>
          <w:color w:val="000000"/>
          <w:sz w:val="28"/>
          <w:szCs w:val="28"/>
        </w:rPr>
      </w:pPr>
      <w:r>
        <w:rPr>
          <w:rFonts w:hint="eastAsia"/>
          <w:color w:val="000000"/>
          <w:sz w:val="28"/>
          <w:szCs w:val="28"/>
        </w:rPr>
        <w:t xml:space="preserve">     </w:t>
      </w:r>
    </w:p>
    <w:p>
      <w:pPr>
        <w:jc w:val="center"/>
        <w:rPr>
          <w:rFonts w:hint="eastAsia" w:ascii="宋体" w:hAnsi="宋体"/>
          <w:color w:val="000000"/>
        </w:rPr>
      </w:pPr>
      <w:r>
        <w:rPr>
          <w:rFonts w:hint="eastAsia" w:ascii="宋体" w:hAnsi="宋体" w:eastAsia="宋体" w:cs="Times New Roman"/>
          <w:color w:val="000000"/>
          <w:kern w:val="2"/>
          <w:sz w:val="21"/>
          <w:lang w:val="en-US" w:eastAsia="zh-CN" w:bidi="ar-SA"/>
        </w:rPr>
        <w:drawing>
          <wp:inline distT="0" distB="0" distL="114300" distR="114300">
            <wp:extent cx="1207135" cy="1129665"/>
            <wp:effectExtent l="0" t="0" r="12065" b="1333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clrChange>
                        <a:clrFrom>
                          <a:srgbClr val="FEFEFE"/>
                        </a:clrFrom>
                        <a:clrTo>
                          <a:srgbClr val="FEFEFE">
                            <a:alpha val="0"/>
                          </a:srgbClr>
                        </a:clrTo>
                      </a:clrChange>
                      <a:lum/>
                    </a:blip>
                    <a:stretch>
                      <a:fillRect/>
                    </a:stretch>
                  </pic:blipFill>
                  <pic:spPr>
                    <a:xfrm>
                      <a:off x="0" y="0"/>
                      <a:ext cx="1207135" cy="1129665"/>
                    </a:xfrm>
                    <a:prstGeom prst="rect">
                      <a:avLst/>
                    </a:prstGeom>
                    <a:noFill/>
                    <a:ln>
                      <a:noFill/>
                    </a:ln>
                  </pic:spPr>
                </pic:pic>
              </a:graphicData>
            </a:graphic>
          </wp:inline>
        </w:drawing>
      </w:r>
    </w:p>
    <w:p>
      <w:pPr>
        <w:jc w:val="center"/>
        <w:rPr>
          <w:rFonts w:hint="eastAsia" w:ascii="宋体" w:hAnsi="宋体"/>
          <w:color w:val="000000"/>
        </w:rPr>
      </w:pPr>
    </w:p>
    <w:p>
      <w:pPr>
        <w:jc w:val="center"/>
        <w:rPr>
          <w:rFonts w:hint="eastAsia" w:ascii="宋体" w:hAnsi="宋体"/>
          <w:color w:val="000000"/>
        </w:rPr>
      </w:pPr>
    </w:p>
    <w:p>
      <w:pPr>
        <w:jc w:val="center"/>
        <w:rPr>
          <w:rFonts w:hint="eastAsia" w:ascii="宋体" w:hAnsi="宋体"/>
          <w:color w:val="000000"/>
        </w:rPr>
      </w:pPr>
    </w:p>
    <w:p>
      <w:pPr>
        <w:jc w:val="center"/>
        <w:rPr>
          <w:rFonts w:hint="eastAsia" w:ascii="宋体" w:hAnsi="宋体"/>
          <w:color w:val="000000"/>
        </w:rPr>
      </w:pPr>
    </w:p>
    <w:p>
      <w:pPr>
        <w:jc w:val="center"/>
        <w:rPr>
          <w:rFonts w:hint="eastAsia" w:ascii="宋体" w:hAnsi="宋体"/>
          <w:color w:val="000000"/>
        </w:rPr>
      </w:pPr>
    </w:p>
    <w:p>
      <w:pPr>
        <w:jc w:val="center"/>
        <w:rPr>
          <w:rFonts w:hint="eastAsia" w:ascii="宋体" w:hAnsi="宋体"/>
          <w:color w:val="000000"/>
        </w:rPr>
      </w:pPr>
    </w:p>
    <w:p>
      <w:pPr>
        <w:widowControl w:val="0"/>
        <w:wordWrap/>
        <w:adjustRightInd/>
        <w:snapToGrid/>
        <w:spacing w:line="240" w:lineRule="auto"/>
        <w:ind w:left="0" w:leftChars="0" w:right="0" w:firstLine="0" w:firstLineChars="0"/>
        <w:jc w:val="both"/>
        <w:textAlignment w:val="auto"/>
        <w:outlineLvl w:val="9"/>
        <w:rPr>
          <w:rFonts w:hint="eastAsia" w:ascii="仿宋_GB2312" w:hAnsi="仿宋_GB2312" w:eastAsia="仿宋_GB2312" w:cs="仿宋_GB2312"/>
          <w:color w:val="000000"/>
          <w:sz w:val="44"/>
          <w:szCs w:val="44"/>
        </w:rPr>
      </w:pPr>
      <w:r>
        <w:rPr>
          <w:rFonts w:hint="eastAsia" w:ascii="仿宋_GB2312" w:hAnsi="仿宋_GB2312" w:eastAsia="仿宋_GB2312" w:cs="仿宋_GB2312"/>
          <w:color w:val="000000"/>
          <w:sz w:val="48"/>
          <w:szCs w:val="48"/>
          <w:lang w:val="en-US" w:eastAsia="zh-CN"/>
        </w:rPr>
        <w:t xml:space="preserve">     </w:t>
      </w:r>
    </w:p>
    <w:p>
      <w:pPr>
        <w:widowControl w:val="0"/>
        <w:wordWrap/>
        <w:adjustRightInd/>
        <w:snapToGrid/>
        <w:spacing w:line="240" w:lineRule="auto"/>
        <w:ind w:left="0" w:leftChars="0" w:right="0" w:firstLine="0" w:firstLineChars="0"/>
        <w:textAlignment w:val="auto"/>
        <w:outlineLvl w:val="9"/>
        <w:rPr>
          <w:rFonts w:hint="eastAsia"/>
          <w:b/>
          <w:bCs/>
          <w:color w:val="000000"/>
          <w:sz w:val="44"/>
          <w:szCs w:val="44"/>
          <w:lang w:val="en-US" w:eastAsia="zh-CN"/>
        </w:rPr>
      </w:pPr>
      <w:r>
        <w:rPr>
          <w:rFonts w:hint="eastAsia"/>
          <w:color w:val="000000"/>
          <w:sz w:val="44"/>
          <w:szCs w:val="44"/>
        </w:rPr>
        <w:t xml:space="preserve">  </w:t>
      </w:r>
      <w:r>
        <w:rPr>
          <w:rFonts w:hint="eastAsia"/>
          <w:b/>
          <w:bCs/>
          <w:color w:val="000000"/>
          <w:sz w:val="44"/>
          <w:szCs w:val="44"/>
          <w:lang w:val="en-US" w:eastAsia="zh-CN"/>
        </w:rPr>
        <w:t xml:space="preserve">    </w:t>
      </w:r>
    </w:p>
    <w:p>
      <w:pPr>
        <w:widowControl w:val="0"/>
        <w:wordWrap/>
        <w:adjustRightInd/>
        <w:snapToGrid/>
        <w:spacing w:line="240" w:lineRule="auto"/>
        <w:ind w:left="0" w:leftChars="0" w:right="0" w:firstLine="0" w:firstLineChars="0"/>
        <w:jc w:val="center"/>
        <w:textAlignment w:val="auto"/>
        <w:outlineLvl w:val="9"/>
        <w:rPr>
          <w:rFonts w:hint="eastAsia" w:ascii="黑体" w:hAnsi="黑体" w:eastAsia="黑体" w:cs="黑体"/>
          <w:b/>
          <w:bCs/>
          <w:color w:val="000000"/>
          <w:sz w:val="44"/>
          <w:szCs w:val="44"/>
        </w:rPr>
      </w:pPr>
      <w:r>
        <w:rPr>
          <w:rFonts w:hint="eastAsia" w:ascii="黑体" w:hAnsi="黑体" w:eastAsia="黑体" w:cs="黑体"/>
          <w:b/>
          <w:bCs/>
          <w:color w:val="000000"/>
          <w:sz w:val="44"/>
          <w:szCs w:val="44"/>
        </w:rPr>
        <w:t>中国人民银行</w:t>
      </w:r>
      <w:r>
        <w:rPr>
          <w:rFonts w:hint="eastAsia" w:ascii="黑体" w:hAnsi="黑体" w:eastAsia="黑体" w:cs="黑体"/>
          <w:b/>
          <w:bCs/>
          <w:color w:val="000000"/>
          <w:sz w:val="44"/>
          <w:szCs w:val="44"/>
          <w:lang w:eastAsia="zh-CN"/>
        </w:rPr>
        <w:t>青岛市分行</w:t>
      </w:r>
    </w:p>
    <w:p>
      <w:pPr>
        <w:widowControl w:val="0"/>
        <w:wordWrap/>
        <w:adjustRightInd/>
        <w:snapToGrid/>
        <w:spacing w:line="240" w:lineRule="auto"/>
        <w:ind w:left="0" w:leftChars="0" w:right="0" w:firstLine="0" w:firstLineChars="0"/>
        <w:jc w:val="center"/>
        <w:textAlignment w:val="auto"/>
        <w:outlineLvl w:val="9"/>
        <w:rPr>
          <w:rFonts w:hint="eastAsia" w:ascii="仿宋_GB2312" w:hAnsi="仿宋_GB2312" w:eastAsia="仿宋_GB2312" w:cs="仿宋_GB2312"/>
          <w:color w:val="000000"/>
          <w:sz w:val="48"/>
          <w:szCs w:val="48"/>
          <w:lang w:val="en-US" w:eastAsia="zh-CN"/>
        </w:rPr>
      </w:pPr>
    </w:p>
    <w:p>
      <w:pPr>
        <w:widowControl w:val="0"/>
        <w:wordWrap/>
        <w:adjustRightInd/>
        <w:snapToGrid/>
        <w:spacing w:line="240" w:lineRule="auto"/>
        <w:ind w:left="0" w:leftChars="0" w:right="0" w:firstLine="0" w:firstLineChars="0"/>
        <w:jc w:val="center"/>
        <w:textAlignment w:val="auto"/>
        <w:outlineLvl w:val="9"/>
        <w:rPr>
          <w:rFonts w:hint="eastAsia" w:ascii="黑体" w:hAnsi="黑体" w:eastAsia="黑体" w:cs="黑体"/>
          <w:color w:val="000000"/>
          <w:sz w:val="48"/>
          <w:szCs w:val="48"/>
          <w:lang w:val="en-US" w:eastAsia="zh-CN"/>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黑体" w:hAnsi="黑体" w:eastAsia="黑体" w:cs="黑体"/>
          <w:color w:val="000000"/>
          <w:sz w:val="48"/>
          <w:szCs w:val="48"/>
          <w:lang w:val="en-US" w:eastAsia="zh-CN"/>
        </w:rPr>
        <w:t>（2025年3月版）</w:t>
      </w:r>
    </w:p>
    <w:p>
      <w:pPr>
        <w:widowControl w:val="0"/>
        <w:wordWrap/>
        <w:adjustRightInd/>
        <w:snapToGrid/>
        <w:spacing w:line="240" w:lineRule="auto"/>
        <w:ind w:left="0" w:leftChars="0" w:right="0" w:firstLine="0" w:firstLineChars="0"/>
        <w:jc w:val="center"/>
        <w:textAlignment w:val="auto"/>
        <w:outlineLvl w:val="9"/>
        <w:rPr>
          <w:rFonts w:hint="eastAsia" w:ascii="黑体" w:hAnsi="黑体" w:eastAsia="黑体" w:cs="黑体"/>
          <w:color w:val="000000"/>
          <w:sz w:val="48"/>
          <w:szCs w:val="48"/>
          <w:lang w:val="en-US" w:eastAsia="zh-CN"/>
        </w:rPr>
      </w:pPr>
    </w:p>
    <w:p>
      <w:pPr>
        <w:wordWrap/>
        <w:adjustRightInd/>
        <w:snapToGrid/>
        <w:spacing w:line="540" w:lineRule="exact"/>
        <w:jc w:val="center"/>
        <w:textAlignment w:val="auto"/>
        <w:outlineLvl w:val="9"/>
        <w:rPr>
          <w:rFonts w:hint="eastAsia" w:ascii="黑体" w:hAnsi="黑体" w:eastAsia="黑体" w:cs="黑体"/>
          <w:b w:val="0"/>
          <w:bCs w:val="0"/>
          <w:color w:val="000000"/>
          <w:sz w:val="44"/>
          <w:szCs w:val="44"/>
          <w:highlight w:val="none"/>
          <w:lang w:eastAsia="zh-CN"/>
        </w:rPr>
        <w:sectPr>
          <w:footerReference r:id="rId5" w:type="default"/>
          <w:type w:val="continuous"/>
          <w:pgSz w:w="11906" w:h="16838"/>
          <w:pgMar w:top="1440" w:right="1800" w:bottom="1440" w:left="1800" w:header="851" w:footer="992" w:gutter="0"/>
          <w:pgNumType w:fmt="numberInDash"/>
          <w:cols w:space="720" w:num="1"/>
          <w:docGrid w:type="lines" w:linePitch="312" w:charSpace="0"/>
        </w:sectPr>
      </w:pPr>
      <w:bookmarkStart w:id="9" w:name="_GoBack"/>
      <w:bookmarkEnd w:id="9"/>
    </w:p>
    <w:p>
      <w:pPr>
        <w:wordWrap/>
        <w:adjustRightInd/>
        <w:snapToGrid/>
        <w:spacing w:line="540" w:lineRule="exact"/>
        <w:jc w:val="center"/>
        <w:textAlignment w:val="auto"/>
        <w:outlineLvl w:val="9"/>
        <w:rPr>
          <w:rFonts w:hint="eastAsia" w:ascii="黑体" w:hAnsi="黑体" w:eastAsia="黑体" w:cs="黑体"/>
          <w:b w:val="0"/>
          <w:bCs w:val="0"/>
          <w:color w:val="000000"/>
          <w:sz w:val="44"/>
          <w:szCs w:val="44"/>
          <w:highlight w:val="none"/>
          <w:lang w:eastAsia="zh-CN"/>
        </w:rPr>
      </w:pPr>
    </w:p>
    <w:p>
      <w:pPr>
        <w:wordWrap/>
        <w:adjustRightInd/>
        <w:snapToGrid/>
        <w:spacing w:line="540" w:lineRule="exact"/>
        <w:jc w:val="center"/>
        <w:textAlignment w:val="auto"/>
        <w:outlineLvl w:val="9"/>
        <w:rPr>
          <w:rFonts w:hint="eastAsia" w:ascii="黑体" w:hAnsi="黑体" w:eastAsia="黑体" w:cs="黑体"/>
          <w:b w:val="0"/>
          <w:bCs w:val="0"/>
          <w:color w:val="000000"/>
          <w:sz w:val="44"/>
          <w:szCs w:val="44"/>
          <w:highlight w:val="none"/>
          <w:lang w:eastAsia="zh-CN"/>
        </w:rPr>
      </w:pPr>
    </w:p>
    <w:p>
      <w:pPr>
        <w:wordWrap/>
        <w:adjustRightInd/>
        <w:snapToGrid/>
        <w:spacing w:line="540" w:lineRule="exact"/>
        <w:jc w:val="center"/>
        <w:textAlignment w:val="auto"/>
        <w:outlineLvl w:val="9"/>
        <w:rPr>
          <w:rFonts w:hint="eastAsia" w:ascii="黑体" w:hAnsi="黑体" w:eastAsia="黑体" w:cs="黑体"/>
          <w:b w:val="0"/>
          <w:bCs w:val="0"/>
          <w:color w:val="000000"/>
          <w:sz w:val="44"/>
          <w:szCs w:val="44"/>
          <w:highlight w:val="none"/>
          <w:lang w:eastAsia="zh-CN"/>
        </w:rPr>
      </w:pPr>
      <w:r>
        <w:rPr>
          <w:rFonts w:hint="eastAsia" w:ascii="黑体" w:hAnsi="黑体" w:eastAsia="黑体" w:cs="黑体"/>
          <w:b w:val="0"/>
          <w:bCs w:val="0"/>
          <w:color w:val="000000"/>
          <w:sz w:val="44"/>
          <w:szCs w:val="44"/>
          <w:highlight w:val="none"/>
          <w:lang w:eastAsia="zh-CN"/>
        </w:rPr>
        <w:t>目</w:t>
      </w:r>
      <w:r>
        <w:rPr>
          <w:rFonts w:hint="eastAsia" w:ascii="黑体" w:hAnsi="黑体" w:eastAsia="黑体" w:cs="黑体"/>
          <w:b w:val="0"/>
          <w:bCs w:val="0"/>
          <w:color w:val="000000"/>
          <w:sz w:val="44"/>
          <w:szCs w:val="44"/>
          <w:highlight w:val="none"/>
          <w:lang w:val="en-US" w:eastAsia="zh-CN"/>
        </w:rPr>
        <w:t xml:space="preserve">    </w:t>
      </w:r>
      <w:r>
        <w:rPr>
          <w:rFonts w:hint="eastAsia" w:ascii="黑体" w:hAnsi="黑体" w:eastAsia="黑体" w:cs="黑体"/>
          <w:b w:val="0"/>
          <w:bCs w:val="0"/>
          <w:color w:val="000000"/>
          <w:sz w:val="44"/>
          <w:szCs w:val="44"/>
          <w:highlight w:val="none"/>
          <w:lang w:eastAsia="zh-CN"/>
        </w:rPr>
        <w:t>录</w:t>
      </w:r>
    </w:p>
    <w:p>
      <w:pPr>
        <w:pStyle w:val="2"/>
        <w:rPr>
          <w:rFonts w:hint="eastAsia" w:ascii="黑体" w:hAnsi="黑体" w:eastAsia="黑体" w:cs="黑体"/>
          <w:b w:val="0"/>
          <w:bCs w:val="0"/>
          <w:color w:val="000000"/>
          <w:sz w:val="44"/>
          <w:szCs w:val="44"/>
          <w:highlight w:val="none"/>
          <w:lang w:eastAsia="zh-CN"/>
        </w:rPr>
      </w:pPr>
    </w:p>
    <w:p>
      <w:pPr>
        <w:pStyle w:val="10"/>
        <w:tabs>
          <w:tab w:val="right" w:leader="dot" w:pos="8306"/>
        </w:tabs>
        <w:rPr>
          <w:rFonts w:hint="eastAsia" w:ascii="黑体" w:hAnsi="黑体" w:eastAsia="黑体" w:cs="黑体"/>
          <w:b w:val="0"/>
          <w:bCs w:val="0"/>
          <w:color w:val="000000"/>
          <w:sz w:val="44"/>
          <w:szCs w:val="44"/>
          <w:highlight w:val="none"/>
          <w:lang w:eastAsia="zh-CN"/>
        </w:rPr>
      </w:pPr>
    </w:p>
    <w:p>
      <w:pPr>
        <w:pStyle w:val="10"/>
        <w:tabs>
          <w:tab w:val="right" w:leader="dot" w:pos="8306"/>
        </w:tabs>
        <w:rPr>
          <w:rFonts w:hint="eastAsia" w:ascii="仿宋_GB2312" w:hAnsi="仿宋_GB2312" w:eastAsia="仿宋_GB2312" w:cs="仿宋_GB2312"/>
          <w:kern w:val="44"/>
          <w:sz w:val="30"/>
          <w:szCs w:val="30"/>
          <w:lang w:val="en-US" w:eastAsia="zh-CN" w:bidi="ar-SA"/>
        </w:rPr>
      </w:pPr>
      <w:r>
        <w:rPr>
          <w:rFonts w:hint="eastAsia" w:ascii="黑体" w:hAnsi="黑体" w:eastAsia="黑体" w:cs="黑体"/>
          <w:b w:val="0"/>
          <w:bCs w:val="0"/>
          <w:color w:val="000000"/>
          <w:sz w:val="44"/>
          <w:szCs w:val="44"/>
          <w:highlight w:val="none"/>
          <w:lang w:eastAsia="zh-CN"/>
        </w:rPr>
        <w:fldChar w:fldCharType="begin"/>
      </w:r>
      <w:r>
        <w:rPr>
          <w:rFonts w:hint="eastAsia" w:ascii="黑体" w:hAnsi="黑体" w:eastAsia="黑体" w:cs="黑体"/>
          <w:b w:val="0"/>
          <w:bCs w:val="0"/>
          <w:color w:val="000000"/>
          <w:sz w:val="44"/>
          <w:szCs w:val="44"/>
          <w:highlight w:val="none"/>
          <w:lang w:eastAsia="zh-CN"/>
        </w:rPr>
        <w:instrText xml:space="preserve">TOC \o "1-1" \h \u </w:instrText>
      </w:r>
      <w:r>
        <w:rPr>
          <w:rFonts w:hint="eastAsia" w:ascii="黑体" w:hAnsi="黑体" w:eastAsia="黑体" w:cs="黑体"/>
          <w:b w:val="0"/>
          <w:bCs w:val="0"/>
          <w:color w:val="000000"/>
          <w:sz w:val="44"/>
          <w:szCs w:val="44"/>
          <w:highlight w:val="none"/>
          <w:lang w:eastAsia="zh-CN"/>
        </w:rPr>
        <w:fldChar w:fldCharType="separate"/>
      </w:r>
      <w:r>
        <w:rPr>
          <w:rFonts w:hint="eastAsia" w:ascii="仿宋_GB2312" w:hAnsi="仿宋_GB2312" w:eastAsia="仿宋_GB2312" w:cs="仿宋_GB2312"/>
          <w:bCs w:val="0"/>
          <w:color w:val="000000"/>
          <w:kern w:val="44"/>
          <w:sz w:val="30"/>
          <w:szCs w:val="30"/>
          <w:highlight w:val="none"/>
          <w:lang w:val="en-US" w:eastAsia="zh-CN" w:bidi="ar-SA"/>
        </w:rPr>
        <w:fldChar w:fldCharType="begin"/>
      </w:r>
      <w:r>
        <w:rPr>
          <w:rFonts w:hint="eastAsia" w:ascii="仿宋_GB2312" w:hAnsi="仿宋_GB2312" w:eastAsia="仿宋_GB2312" w:cs="仿宋_GB2312"/>
          <w:bCs w:val="0"/>
          <w:color w:val="000000"/>
          <w:kern w:val="44"/>
          <w:sz w:val="30"/>
          <w:szCs w:val="30"/>
          <w:highlight w:val="none"/>
          <w:lang w:val="en-US" w:eastAsia="zh-CN" w:bidi="ar-SA"/>
        </w:rPr>
        <w:instrText xml:space="preserve"> HYPERLINK \l _Toc31449 </w:instrText>
      </w:r>
      <w:r>
        <w:rPr>
          <w:rFonts w:hint="eastAsia" w:ascii="仿宋_GB2312" w:hAnsi="仿宋_GB2312" w:eastAsia="仿宋_GB2312" w:cs="仿宋_GB2312"/>
          <w:bCs w:val="0"/>
          <w:color w:val="000000"/>
          <w:kern w:val="44"/>
          <w:sz w:val="30"/>
          <w:szCs w:val="30"/>
          <w:highlight w:val="none"/>
          <w:lang w:val="en-US" w:eastAsia="zh-CN" w:bidi="ar-SA"/>
        </w:rPr>
        <w:fldChar w:fldCharType="separate"/>
      </w:r>
      <w:r>
        <w:rPr>
          <w:rFonts w:hint="eastAsia" w:ascii="仿宋_GB2312" w:hAnsi="仿宋_GB2312" w:eastAsia="仿宋_GB2312" w:cs="仿宋_GB2312"/>
          <w:kern w:val="44"/>
          <w:sz w:val="30"/>
          <w:szCs w:val="30"/>
          <w:lang w:val="en-US" w:eastAsia="zh-CN" w:bidi="ar-SA"/>
        </w:rPr>
        <w:t>银行账户开户许可证核发（除企业法人、非法人企业、个体工商户外）办事指南</w:t>
      </w:r>
      <w:r>
        <w:rPr>
          <w:rFonts w:hint="eastAsia" w:ascii="仿宋_GB2312" w:hAnsi="仿宋_GB2312" w:eastAsia="仿宋_GB2312" w:cs="仿宋_GB2312"/>
          <w:kern w:val="44"/>
          <w:sz w:val="30"/>
          <w:szCs w:val="30"/>
          <w:lang w:val="en-US" w:eastAsia="zh-CN" w:bidi="ar-SA"/>
        </w:rPr>
        <w:tab/>
      </w:r>
      <w:r>
        <w:rPr>
          <w:rFonts w:hint="eastAsia" w:ascii="仿宋_GB2312" w:hAnsi="仿宋_GB2312" w:eastAsia="仿宋_GB2312" w:cs="仿宋_GB2312"/>
          <w:kern w:val="44"/>
          <w:sz w:val="30"/>
          <w:szCs w:val="30"/>
          <w:lang w:val="en-US" w:eastAsia="zh-CN" w:bidi="ar-SA"/>
        </w:rPr>
        <w:fldChar w:fldCharType="begin"/>
      </w:r>
      <w:r>
        <w:rPr>
          <w:rFonts w:hint="eastAsia" w:ascii="仿宋_GB2312" w:hAnsi="仿宋_GB2312" w:eastAsia="仿宋_GB2312" w:cs="仿宋_GB2312"/>
          <w:kern w:val="44"/>
          <w:sz w:val="30"/>
          <w:szCs w:val="30"/>
          <w:lang w:val="en-US" w:eastAsia="zh-CN" w:bidi="ar-SA"/>
        </w:rPr>
        <w:instrText xml:space="preserve"> PAGEREF _Toc31449 </w:instrText>
      </w:r>
      <w:r>
        <w:rPr>
          <w:rFonts w:hint="eastAsia" w:ascii="仿宋_GB2312" w:hAnsi="仿宋_GB2312" w:eastAsia="仿宋_GB2312" w:cs="仿宋_GB2312"/>
          <w:kern w:val="44"/>
          <w:sz w:val="30"/>
          <w:szCs w:val="30"/>
          <w:lang w:val="en-US" w:eastAsia="zh-CN" w:bidi="ar-SA"/>
        </w:rPr>
        <w:fldChar w:fldCharType="separate"/>
      </w:r>
      <w:r>
        <w:rPr>
          <w:rFonts w:hint="eastAsia" w:ascii="仿宋_GB2312" w:hAnsi="仿宋_GB2312" w:eastAsia="仿宋_GB2312" w:cs="仿宋_GB2312"/>
          <w:kern w:val="44"/>
          <w:sz w:val="30"/>
          <w:szCs w:val="30"/>
          <w:lang w:val="en-US" w:eastAsia="zh-CN" w:bidi="ar-SA"/>
        </w:rPr>
        <w:t>- 2 -</w:t>
      </w:r>
      <w:r>
        <w:rPr>
          <w:rFonts w:hint="eastAsia" w:ascii="仿宋_GB2312" w:hAnsi="仿宋_GB2312" w:eastAsia="仿宋_GB2312" w:cs="仿宋_GB2312"/>
          <w:kern w:val="44"/>
          <w:sz w:val="30"/>
          <w:szCs w:val="30"/>
          <w:lang w:val="en-US" w:eastAsia="zh-CN" w:bidi="ar-SA"/>
        </w:rPr>
        <w:fldChar w:fldCharType="end"/>
      </w:r>
      <w:r>
        <w:rPr>
          <w:rFonts w:hint="eastAsia" w:ascii="仿宋_GB2312" w:hAnsi="仿宋_GB2312" w:eastAsia="仿宋_GB2312" w:cs="仿宋_GB2312"/>
          <w:bCs w:val="0"/>
          <w:color w:val="000000"/>
          <w:kern w:val="44"/>
          <w:sz w:val="30"/>
          <w:szCs w:val="30"/>
          <w:highlight w:val="none"/>
          <w:lang w:val="en-US" w:eastAsia="zh-CN" w:bidi="ar-SA"/>
        </w:rPr>
        <w:fldChar w:fldCharType="end"/>
      </w:r>
    </w:p>
    <w:p>
      <w:pPr>
        <w:pStyle w:val="10"/>
        <w:tabs>
          <w:tab w:val="right" w:leader="dot" w:pos="8306"/>
        </w:tabs>
        <w:rPr>
          <w:rFonts w:hint="eastAsia" w:ascii="仿宋_GB2312" w:hAnsi="仿宋_GB2312" w:eastAsia="仿宋_GB2312" w:cs="仿宋_GB2312"/>
          <w:kern w:val="44"/>
          <w:sz w:val="30"/>
          <w:szCs w:val="30"/>
          <w:lang w:val="en-US" w:eastAsia="zh-CN" w:bidi="ar-SA"/>
        </w:rPr>
      </w:pPr>
      <w:r>
        <w:rPr>
          <w:rFonts w:hint="eastAsia" w:ascii="仿宋_GB2312" w:hAnsi="仿宋_GB2312" w:eastAsia="仿宋_GB2312" w:cs="仿宋_GB2312"/>
          <w:bCs w:val="0"/>
          <w:color w:val="000000"/>
          <w:kern w:val="44"/>
          <w:sz w:val="30"/>
          <w:szCs w:val="30"/>
          <w:highlight w:val="none"/>
          <w:lang w:val="en-US" w:eastAsia="zh-CN" w:bidi="ar-SA"/>
        </w:rPr>
        <w:fldChar w:fldCharType="begin"/>
      </w:r>
      <w:r>
        <w:rPr>
          <w:rFonts w:hint="eastAsia" w:ascii="仿宋_GB2312" w:hAnsi="仿宋_GB2312" w:eastAsia="仿宋_GB2312" w:cs="仿宋_GB2312"/>
          <w:bCs w:val="0"/>
          <w:color w:val="000000"/>
          <w:kern w:val="44"/>
          <w:sz w:val="30"/>
          <w:szCs w:val="30"/>
          <w:highlight w:val="none"/>
          <w:lang w:val="en-US" w:eastAsia="zh-CN" w:bidi="ar-SA"/>
        </w:rPr>
        <w:instrText xml:space="preserve"> HYPERLINK \l _Toc1789 </w:instrText>
      </w:r>
      <w:r>
        <w:rPr>
          <w:rFonts w:hint="eastAsia" w:ascii="仿宋_GB2312" w:hAnsi="仿宋_GB2312" w:eastAsia="仿宋_GB2312" w:cs="仿宋_GB2312"/>
          <w:bCs w:val="0"/>
          <w:color w:val="000000"/>
          <w:kern w:val="44"/>
          <w:sz w:val="30"/>
          <w:szCs w:val="30"/>
          <w:highlight w:val="none"/>
          <w:lang w:val="en-US" w:eastAsia="zh-CN" w:bidi="ar-SA"/>
        </w:rPr>
        <w:fldChar w:fldCharType="separate"/>
      </w:r>
      <w:r>
        <w:rPr>
          <w:rFonts w:hint="eastAsia" w:ascii="仿宋_GB2312" w:hAnsi="仿宋_GB2312" w:eastAsia="仿宋_GB2312" w:cs="仿宋_GB2312"/>
          <w:kern w:val="44"/>
          <w:sz w:val="30"/>
          <w:szCs w:val="30"/>
          <w:lang w:val="en-US" w:eastAsia="zh-CN" w:bidi="ar-SA"/>
        </w:rPr>
        <w:t>商业银行、信用社代理支库业务审批办事指南</w:t>
      </w:r>
      <w:r>
        <w:rPr>
          <w:rFonts w:hint="eastAsia" w:ascii="仿宋_GB2312" w:hAnsi="仿宋_GB2312" w:eastAsia="仿宋_GB2312" w:cs="仿宋_GB2312"/>
          <w:kern w:val="44"/>
          <w:sz w:val="30"/>
          <w:szCs w:val="30"/>
          <w:lang w:val="en-US" w:eastAsia="zh-CN" w:bidi="ar-SA"/>
        </w:rPr>
        <w:tab/>
      </w:r>
      <w:r>
        <w:rPr>
          <w:rFonts w:hint="eastAsia" w:ascii="仿宋_GB2312" w:hAnsi="仿宋_GB2312" w:eastAsia="仿宋_GB2312" w:cs="仿宋_GB2312"/>
          <w:kern w:val="44"/>
          <w:sz w:val="30"/>
          <w:szCs w:val="30"/>
          <w:lang w:val="en-US" w:eastAsia="zh-CN" w:bidi="ar-SA"/>
        </w:rPr>
        <w:fldChar w:fldCharType="begin"/>
      </w:r>
      <w:r>
        <w:rPr>
          <w:rFonts w:hint="eastAsia" w:ascii="仿宋_GB2312" w:hAnsi="仿宋_GB2312" w:eastAsia="仿宋_GB2312" w:cs="仿宋_GB2312"/>
          <w:kern w:val="44"/>
          <w:sz w:val="30"/>
          <w:szCs w:val="30"/>
          <w:lang w:val="en-US" w:eastAsia="zh-CN" w:bidi="ar-SA"/>
        </w:rPr>
        <w:instrText xml:space="preserve"> PAGEREF _Toc1789 </w:instrText>
      </w:r>
      <w:r>
        <w:rPr>
          <w:rFonts w:hint="eastAsia" w:ascii="仿宋_GB2312" w:hAnsi="仿宋_GB2312" w:eastAsia="仿宋_GB2312" w:cs="仿宋_GB2312"/>
          <w:kern w:val="44"/>
          <w:sz w:val="30"/>
          <w:szCs w:val="30"/>
          <w:lang w:val="en-US" w:eastAsia="zh-CN" w:bidi="ar-SA"/>
        </w:rPr>
        <w:fldChar w:fldCharType="separate"/>
      </w:r>
      <w:r>
        <w:rPr>
          <w:rFonts w:hint="eastAsia" w:ascii="仿宋_GB2312" w:hAnsi="仿宋_GB2312" w:eastAsia="仿宋_GB2312" w:cs="仿宋_GB2312"/>
          <w:kern w:val="44"/>
          <w:sz w:val="30"/>
          <w:szCs w:val="30"/>
          <w:lang w:val="en-US" w:eastAsia="zh-CN" w:bidi="ar-SA"/>
        </w:rPr>
        <w:t>- 12 -</w:t>
      </w:r>
      <w:r>
        <w:rPr>
          <w:rFonts w:hint="eastAsia" w:ascii="仿宋_GB2312" w:hAnsi="仿宋_GB2312" w:eastAsia="仿宋_GB2312" w:cs="仿宋_GB2312"/>
          <w:kern w:val="44"/>
          <w:sz w:val="30"/>
          <w:szCs w:val="30"/>
          <w:lang w:val="en-US" w:eastAsia="zh-CN" w:bidi="ar-SA"/>
        </w:rPr>
        <w:fldChar w:fldCharType="end"/>
      </w:r>
      <w:r>
        <w:rPr>
          <w:rFonts w:hint="eastAsia" w:ascii="仿宋_GB2312" w:hAnsi="仿宋_GB2312" w:eastAsia="仿宋_GB2312" w:cs="仿宋_GB2312"/>
          <w:bCs w:val="0"/>
          <w:color w:val="000000"/>
          <w:kern w:val="44"/>
          <w:sz w:val="30"/>
          <w:szCs w:val="30"/>
          <w:highlight w:val="none"/>
          <w:lang w:val="en-US" w:eastAsia="zh-CN" w:bidi="ar-SA"/>
        </w:rPr>
        <w:fldChar w:fldCharType="end"/>
      </w:r>
    </w:p>
    <w:p>
      <w:pPr>
        <w:pStyle w:val="10"/>
        <w:tabs>
          <w:tab w:val="right" w:leader="dot" w:pos="8306"/>
        </w:tabs>
        <w:rPr>
          <w:rFonts w:hint="eastAsia" w:ascii="仿宋_GB2312" w:hAnsi="仿宋_GB2312" w:eastAsia="仿宋_GB2312" w:cs="仿宋_GB2312"/>
          <w:kern w:val="44"/>
          <w:sz w:val="30"/>
          <w:szCs w:val="30"/>
          <w:lang w:val="en-US" w:eastAsia="zh-CN" w:bidi="ar-SA"/>
        </w:rPr>
      </w:pPr>
      <w:r>
        <w:rPr>
          <w:rFonts w:hint="eastAsia" w:ascii="仿宋_GB2312" w:hAnsi="仿宋_GB2312" w:eastAsia="仿宋_GB2312" w:cs="仿宋_GB2312"/>
          <w:bCs w:val="0"/>
          <w:color w:val="000000"/>
          <w:kern w:val="44"/>
          <w:sz w:val="30"/>
          <w:szCs w:val="30"/>
          <w:highlight w:val="none"/>
          <w:lang w:val="en-US" w:eastAsia="zh-CN" w:bidi="ar-SA"/>
        </w:rPr>
        <w:fldChar w:fldCharType="begin"/>
      </w:r>
      <w:r>
        <w:rPr>
          <w:rFonts w:hint="eastAsia" w:ascii="仿宋_GB2312" w:hAnsi="仿宋_GB2312" w:eastAsia="仿宋_GB2312" w:cs="仿宋_GB2312"/>
          <w:bCs w:val="0"/>
          <w:color w:val="000000"/>
          <w:kern w:val="44"/>
          <w:sz w:val="30"/>
          <w:szCs w:val="30"/>
          <w:highlight w:val="none"/>
          <w:lang w:val="en-US" w:eastAsia="zh-CN" w:bidi="ar-SA"/>
        </w:rPr>
        <w:instrText xml:space="preserve"> HYPERLINK \l _Toc21350 </w:instrText>
      </w:r>
      <w:r>
        <w:rPr>
          <w:rFonts w:hint="eastAsia" w:ascii="仿宋_GB2312" w:hAnsi="仿宋_GB2312" w:eastAsia="仿宋_GB2312" w:cs="仿宋_GB2312"/>
          <w:bCs w:val="0"/>
          <w:color w:val="000000"/>
          <w:kern w:val="44"/>
          <w:sz w:val="30"/>
          <w:szCs w:val="30"/>
          <w:highlight w:val="none"/>
          <w:lang w:val="en-US" w:eastAsia="zh-CN" w:bidi="ar-SA"/>
        </w:rPr>
        <w:fldChar w:fldCharType="separate"/>
      </w:r>
      <w:r>
        <w:rPr>
          <w:rFonts w:hint="eastAsia" w:ascii="仿宋_GB2312" w:hAnsi="仿宋_GB2312" w:eastAsia="仿宋_GB2312" w:cs="仿宋_GB2312"/>
          <w:kern w:val="44"/>
          <w:sz w:val="30"/>
          <w:szCs w:val="30"/>
          <w:lang w:val="en-US" w:eastAsia="zh-CN" w:bidi="ar-SA"/>
        </w:rPr>
        <w:t>国库集中收付代理银行资格认定办事指南</w:t>
      </w:r>
      <w:r>
        <w:rPr>
          <w:rFonts w:hint="eastAsia" w:ascii="仿宋_GB2312" w:hAnsi="仿宋_GB2312" w:eastAsia="仿宋_GB2312" w:cs="仿宋_GB2312"/>
          <w:kern w:val="44"/>
          <w:sz w:val="30"/>
          <w:szCs w:val="30"/>
          <w:lang w:val="en-US" w:eastAsia="zh-CN" w:bidi="ar-SA"/>
        </w:rPr>
        <w:tab/>
      </w:r>
      <w:r>
        <w:rPr>
          <w:rFonts w:hint="eastAsia" w:ascii="仿宋_GB2312" w:hAnsi="仿宋_GB2312" w:eastAsia="仿宋_GB2312" w:cs="仿宋_GB2312"/>
          <w:kern w:val="44"/>
          <w:sz w:val="30"/>
          <w:szCs w:val="30"/>
          <w:lang w:val="en-US" w:eastAsia="zh-CN" w:bidi="ar-SA"/>
        </w:rPr>
        <w:fldChar w:fldCharType="begin"/>
      </w:r>
      <w:r>
        <w:rPr>
          <w:rFonts w:hint="eastAsia" w:ascii="仿宋_GB2312" w:hAnsi="仿宋_GB2312" w:eastAsia="仿宋_GB2312" w:cs="仿宋_GB2312"/>
          <w:kern w:val="44"/>
          <w:sz w:val="30"/>
          <w:szCs w:val="30"/>
          <w:lang w:val="en-US" w:eastAsia="zh-CN" w:bidi="ar-SA"/>
        </w:rPr>
        <w:instrText xml:space="preserve"> PAGEREF _Toc21350 </w:instrText>
      </w:r>
      <w:r>
        <w:rPr>
          <w:rFonts w:hint="eastAsia" w:ascii="仿宋_GB2312" w:hAnsi="仿宋_GB2312" w:eastAsia="仿宋_GB2312" w:cs="仿宋_GB2312"/>
          <w:kern w:val="44"/>
          <w:sz w:val="30"/>
          <w:szCs w:val="30"/>
          <w:lang w:val="en-US" w:eastAsia="zh-CN" w:bidi="ar-SA"/>
        </w:rPr>
        <w:fldChar w:fldCharType="separate"/>
      </w:r>
      <w:r>
        <w:rPr>
          <w:rFonts w:hint="eastAsia" w:ascii="仿宋_GB2312" w:hAnsi="仿宋_GB2312" w:eastAsia="仿宋_GB2312" w:cs="仿宋_GB2312"/>
          <w:kern w:val="44"/>
          <w:sz w:val="30"/>
          <w:szCs w:val="30"/>
          <w:lang w:val="en-US" w:eastAsia="zh-CN" w:bidi="ar-SA"/>
        </w:rPr>
        <w:t>- 14 -</w:t>
      </w:r>
      <w:r>
        <w:rPr>
          <w:rFonts w:hint="eastAsia" w:ascii="仿宋_GB2312" w:hAnsi="仿宋_GB2312" w:eastAsia="仿宋_GB2312" w:cs="仿宋_GB2312"/>
          <w:kern w:val="44"/>
          <w:sz w:val="30"/>
          <w:szCs w:val="30"/>
          <w:lang w:val="en-US" w:eastAsia="zh-CN" w:bidi="ar-SA"/>
        </w:rPr>
        <w:fldChar w:fldCharType="end"/>
      </w:r>
      <w:r>
        <w:rPr>
          <w:rFonts w:hint="eastAsia" w:ascii="仿宋_GB2312" w:hAnsi="仿宋_GB2312" w:eastAsia="仿宋_GB2312" w:cs="仿宋_GB2312"/>
          <w:bCs w:val="0"/>
          <w:color w:val="000000"/>
          <w:kern w:val="44"/>
          <w:sz w:val="30"/>
          <w:szCs w:val="30"/>
          <w:highlight w:val="none"/>
          <w:lang w:val="en-US" w:eastAsia="zh-CN" w:bidi="ar-SA"/>
        </w:rPr>
        <w:fldChar w:fldCharType="end"/>
      </w:r>
    </w:p>
    <w:p>
      <w:pPr>
        <w:pStyle w:val="10"/>
        <w:tabs>
          <w:tab w:val="right" w:leader="dot" w:pos="8306"/>
        </w:tabs>
        <w:rPr>
          <w:rFonts w:hint="eastAsia" w:ascii="仿宋_GB2312" w:hAnsi="仿宋_GB2312" w:eastAsia="仿宋_GB2312" w:cs="仿宋_GB2312"/>
          <w:kern w:val="44"/>
          <w:sz w:val="30"/>
          <w:szCs w:val="30"/>
          <w:lang w:val="en-US" w:eastAsia="zh-CN" w:bidi="ar-SA"/>
        </w:rPr>
      </w:pPr>
      <w:r>
        <w:rPr>
          <w:rFonts w:hint="eastAsia" w:ascii="仿宋_GB2312" w:hAnsi="仿宋_GB2312" w:eastAsia="仿宋_GB2312" w:cs="仿宋_GB2312"/>
          <w:bCs w:val="0"/>
          <w:color w:val="000000"/>
          <w:kern w:val="44"/>
          <w:sz w:val="30"/>
          <w:szCs w:val="30"/>
          <w:highlight w:val="none"/>
          <w:lang w:val="en-US" w:eastAsia="zh-CN" w:bidi="ar-SA"/>
        </w:rPr>
        <w:fldChar w:fldCharType="begin"/>
      </w:r>
      <w:r>
        <w:rPr>
          <w:rFonts w:hint="eastAsia" w:ascii="仿宋_GB2312" w:hAnsi="仿宋_GB2312" w:eastAsia="仿宋_GB2312" w:cs="仿宋_GB2312"/>
          <w:bCs w:val="0"/>
          <w:color w:val="000000"/>
          <w:kern w:val="44"/>
          <w:sz w:val="30"/>
          <w:szCs w:val="30"/>
          <w:highlight w:val="none"/>
          <w:lang w:val="en-US" w:eastAsia="zh-CN" w:bidi="ar-SA"/>
        </w:rPr>
        <w:instrText xml:space="preserve"> HYPERLINK \l _Toc22287 </w:instrText>
      </w:r>
      <w:r>
        <w:rPr>
          <w:rFonts w:hint="eastAsia" w:ascii="仿宋_GB2312" w:hAnsi="仿宋_GB2312" w:eastAsia="仿宋_GB2312" w:cs="仿宋_GB2312"/>
          <w:bCs w:val="0"/>
          <w:color w:val="000000"/>
          <w:kern w:val="44"/>
          <w:sz w:val="30"/>
          <w:szCs w:val="30"/>
          <w:highlight w:val="none"/>
          <w:lang w:val="en-US" w:eastAsia="zh-CN" w:bidi="ar-SA"/>
        </w:rPr>
        <w:fldChar w:fldCharType="separate"/>
      </w:r>
      <w:r>
        <w:rPr>
          <w:rFonts w:hint="eastAsia" w:ascii="仿宋_GB2312" w:hAnsi="仿宋_GB2312" w:eastAsia="仿宋_GB2312" w:cs="仿宋_GB2312"/>
          <w:kern w:val="44"/>
          <w:sz w:val="30"/>
          <w:szCs w:val="30"/>
          <w:lang w:val="en-US" w:eastAsia="zh-CN" w:bidi="ar-SA"/>
        </w:rPr>
        <w:t>非银行支付机构许可（受理、初审）办事指南</w:t>
      </w:r>
      <w:r>
        <w:rPr>
          <w:rFonts w:hint="eastAsia" w:ascii="仿宋_GB2312" w:hAnsi="仿宋_GB2312" w:eastAsia="仿宋_GB2312" w:cs="仿宋_GB2312"/>
          <w:kern w:val="44"/>
          <w:sz w:val="30"/>
          <w:szCs w:val="30"/>
          <w:lang w:val="en-US" w:eastAsia="zh-CN" w:bidi="ar-SA"/>
        </w:rPr>
        <w:tab/>
      </w:r>
      <w:r>
        <w:rPr>
          <w:rFonts w:hint="eastAsia" w:ascii="仿宋_GB2312" w:hAnsi="仿宋_GB2312" w:eastAsia="仿宋_GB2312" w:cs="仿宋_GB2312"/>
          <w:kern w:val="44"/>
          <w:sz w:val="30"/>
          <w:szCs w:val="30"/>
          <w:lang w:val="en-US" w:eastAsia="zh-CN" w:bidi="ar-SA"/>
        </w:rPr>
        <w:fldChar w:fldCharType="begin"/>
      </w:r>
      <w:r>
        <w:rPr>
          <w:rFonts w:hint="eastAsia" w:ascii="仿宋_GB2312" w:hAnsi="仿宋_GB2312" w:eastAsia="仿宋_GB2312" w:cs="仿宋_GB2312"/>
          <w:kern w:val="44"/>
          <w:sz w:val="30"/>
          <w:szCs w:val="30"/>
          <w:lang w:val="en-US" w:eastAsia="zh-CN" w:bidi="ar-SA"/>
        </w:rPr>
        <w:instrText xml:space="preserve"> PAGEREF _Toc22287 </w:instrText>
      </w:r>
      <w:r>
        <w:rPr>
          <w:rFonts w:hint="eastAsia" w:ascii="仿宋_GB2312" w:hAnsi="仿宋_GB2312" w:eastAsia="仿宋_GB2312" w:cs="仿宋_GB2312"/>
          <w:kern w:val="44"/>
          <w:sz w:val="30"/>
          <w:szCs w:val="30"/>
          <w:lang w:val="en-US" w:eastAsia="zh-CN" w:bidi="ar-SA"/>
        </w:rPr>
        <w:fldChar w:fldCharType="separate"/>
      </w:r>
      <w:r>
        <w:rPr>
          <w:rFonts w:hint="eastAsia" w:ascii="仿宋_GB2312" w:hAnsi="仿宋_GB2312" w:eastAsia="仿宋_GB2312" w:cs="仿宋_GB2312"/>
          <w:kern w:val="44"/>
          <w:sz w:val="30"/>
          <w:szCs w:val="30"/>
          <w:lang w:val="en-US" w:eastAsia="zh-CN" w:bidi="ar-SA"/>
        </w:rPr>
        <w:t>- 17 -</w:t>
      </w:r>
      <w:r>
        <w:rPr>
          <w:rFonts w:hint="eastAsia" w:ascii="仿宋_GB2312" w:hAnsi="仿宋_GB2312" w:eastAsia="仿宋_GB2312" w:cs="仿宋_GB2312"/>
          <w:kern w:val="44"/>
          <w:sz w:val="30"/>
          <w:szCs w:val="30"/>
          <w:lang w:val="en-US" w:eastAsia="zh-CN" w:bidi="ar-SA"/>
        </w:rPr>
        <w:fldChar w:fldCharType="end"/>
      </w:r>
      <w:r>
        <w:rPr>
          <w:rFonts w:hint="eastAsia" w:ascii="仿宋_GB2312" w:hAnsi="仿宋_GB2312" w:eastAsia="仿宋_GB2312" w:cs="仿宋_GB2312"/>
          <w:bCs w:val="0"/>
          <w:color w:val="000000"/>
          <w:kern w:val="44"/>
          <w:sz w:val="30"/>
          <w:szCs w:val="30"/>
          <w:highlight w:val="none"/>
          <w:lang w:val="en-US" w:eastAsia="zh-CN" w:bidi="ar-SA"/>
        </w:rPr>
        <w:fldChar w:fldCharType="end"/>
      </w:r>
    </w:p>
    <w:p>
      <w:pPr>
        <w:pStyle w:val="10"/>
        <w:tabs>
          <w:tab w:val="right" w:leader="dot" w:pos="8306"/>
        </w:tabs>
        <w:rPr>
          <w:rFonts w:hint="eastAsia" w:ascii="仿宋_GB2312" w:hAnsi="仿宋_GB2312" w:eastAsia="仿宋_GB2312" w:cs="仿宋_GB2312"/>
          <w:kern w:val="44"/>
          <w:sz w:val="30"/>
          <w:szCs w:val="30"/>
          <w:lang w:val="en-US" w:eastAsia="zh-CN" w:bidi="ar-SA"/>
        </w:rPr>
      </w:pPr>
      <w:r>
        <w:rPr>
          <w:rFonts w:hint="eastAsia" w:ascii="仿宋_GB2312" w:hAnsi="仿宋_GB2312" w:eastAsia="仿宋_GB2312" w:cs="仿宋_GB2312"/>
          <w:bCs w:val="0"/>
          <w:color w:val="000000"/>
          <w:kern w:val="44"/>
          <w:sz w:val="30"/>
          <w:szCs w:val="30"/>
          <w:highlight w:val="none"/>
          <w:lang w:val="en-US" w:eastAsia="zh-CN" w:bidi="ar-SA"/>
        </w:rPr>
        <w:fldChar w:fldCharType="begin"/>
      </w:r>
      <w:r>
        <w:rPr>
          <w:rFonts w:hint="eastAsia" w:ascii="仿宋_GB2312" w:hAnsi="仿宋_GB2312" w:eastAsia="仿宋_GB2312" w:cs="仿宋_GB2312"/>
          <w:bCs w:val="0"/>
          <w:color w:val="000000"/>
          <w:kern w:val="44"/>
          <w:sz w:val="30"/>
          <w:szCs w:val="30"/>
          <w:highlight w:val="none"/>
          <w:lang w:val="en-US" w:eastAsia="zh-CN" w:bidi="ar-SA"/>
        </w:rPr>
        <w:instrText xml:space="preserve"> HYPERLINK \l _Toc26378 </w:instrText>
      </w:r>
      <w:r>
        <w:rPr>
          <w:rFonts w:hint="eastAsia" w:ascii="仿宋_GB2312" w:hAnsi="仿宋_GB2312" w:eastAsia="仿宋_GB2312" w:cs="仿宋_GB2312"/>
          <w:bCs w:val="0"/>
          <w:color w:val="000000"/>
          <w:kern w:val="44"/>
          <w:sz w:val="30"/>
          <w:szCs w:val="30"/>
          <w:highlight w:val="none"/>
          <w:lang w:val="en-US" w:eastAsia="zh-CN" w:bidi="ar-SA"/>
        </w:rPr>
        <w:fldChar w:fldCharType="separate"/>
      </w:r>
      <w:r>
        <w:rPr>
          <w:rFonts w:hint="eastAsia" w:ascii="仿宋_GB2312" w:hAnsi="仿宋_GB2312" w:eastAsia="仿宋_GB2312" w:cs="仿宋_GB2312"/>
          <w:kern w:val="44"/>
          <w:sz w:val="30"/>
          <w:szCs w:val="30"/>
          <w:lang w:val="en-US" w:eastAsia="zh-CN" w:bidi="ar-SA"/>
        </w:rPr>
        <w:t>人民币图样使用审批（受理、初审）办事指南</w:t>
      </w:r>
      <w:r>
        <w:rPr>
          <w:rFonts w:hint="eastAsia" w:ascii="仿宋_GB2312" w:hAnsi="仿宋_GB2312" w:eastAsia="仿宋_GB2312" w:cs="仿宋_GB2312"/>
          <w:kern w:val="44"/>
          <w:sz w:val="30"/>
          <w:szCs w:val="30"/>
          <w:lang w:val="en-US" w:eastAsia="zh-CN" w:bidi="ar-SA"/>
        </w:rPr>
        <w:tab/>
      </w:r>
      <w:r>
        <w:rPr>
          <w:rFonts w:hint="eastAsia" w:ascii="仿宋_GB2312" w:hAnsi="仿宋_GB2312" w:eastAsia="仿宋_GB2312" w:cs="仿宋_GB2312"/>
          <w:kern w:val="44"/>
          <w:sz w:val="30"/>
          <w:szCs w:val="30"/>
          <w:lang w:val="en-US" w:eastAsia="zh-CN" w:bidi="ar-SA"/>
        </w:rPr>
        <w:fldChar w:fldCharType="begin"/>
      </w:r>
      <w:r>
        <w:rPr>
          <w:rFonts w:hint="eastAsia" w:ascii="仿宋_GB2312" w:hAnsi="仿宋_GB2312" w:eastAsia="仿宋_GB2312" w:cs="仿宋_GB2312"/>
          <w:kern w:val="44"/>
          <w:sz w:val="30"/>
          <w:szCs w:val="30"/>
          <w:lang w:val="en-US" w:eastAsia="zh-CN" w:bidi="ar-SA"/>
        </w:rPr>
        <w:instrText xml:space="preserve"> PAGEREF _Toc26378 </w:instrText>
      </w:r>
      <w:r>
        <w:rPr>
          <w:rFonts w:hint="eastAsia" w:ascii="仿宋_GB2312" w:hAnsi="仿宋_GB2312" w:eastAsia="仿宋_GB2312" w:cs="仿宋_GB2312"/>
          <w:kern w:val="44"/>
          <w:sz w:val="30"/>
          <w:szCs w:val="30"/>
          <w:lang w:val="en-US" w:eastAsia="zh-CN" w:bidi="ar-SA"/>
        </w:rPr>
        <w:fldChar w:fldCharType="separate"/>
      </w:r>
      <w:r>
        <w:rPr>
          <w:rFonts w:hint="eastAsia" w:ascii="仿宋_GB2312" w:hAnsi="仿宋_GB2312" w:eastAsia="仿宋_GB2312" w:cs="仿宋_GB2312"/>
          <w:kern w:val="44"/>
          <w:sz w:val="30"/>
          <w:szCs w:val="30"/>
          <w:lang w:val="en-US" w:eastAsia="zh-CN" w:bidi="ar-SA"/>
        </w:rPr>
        <w:t>- 20 -</w:t>
      </w:r>
      <w:r>
        <w:rPr>
          <w:rFonts w:hint="eastAsia" w:ascii="仿宋_GB2312" w:hAnsi="仿宋_GB2312" w:eastAsia="仿宋_GB2312" w:cs="仿宋_GB2312"/>
          <w:kern w:val="44"/>
          <w:sz w:val="30"/>
          <w:szCs w:val="30"/>
          <w:lang w:val="en-US" w:eastAsia="zh-CN" w:bidi="ar-SA"/>
        </w:rPr>
        <w:fldChar w:fldCharType="end"/>
      </w:r>
      <w:r>
        <w:rPr>
          <w:rFonts w:hint="eastAsia" w:ascii="仿宋_GB2312" w:hAnsi="仿宋_GB2312" w:eastAsia="仿宋_GB2312" w:cs="仿宋_GB2312"/>
          <w:bCs w:val="0"/>
          <w:color w:val="000000"/>
          <w:kern w:val="44"/>
          <w:sz w:val="30"/>
          <w:szCs w:val="30"/>
          <w:highlight w:val="none"/>
          <w:lang w:val="en-US" w:eastAsia="zh-CN" w:bidi="ar-SA"/>
        </w:rPr>
        <w:fldChar w:fldCharType="end"/>
      </w:r>
    </w:p>
    <w:p>
      <w:pPr>
        <w:pStyle w:val="10"/>
        <w:tabs>
          <w:tab w:val="right" w:leader="dot" w:pos="8306"/>
        </w:tabs>
        <w:rPr>
          <w:rFonts w:ascii="Times New Roman" w:hAnsi="Times New Roman" w:eastAsia="黑体"/>
          <w:kern w:val="44"/>
          <w:lang w:val="en-US" w:eastAsia="zh-CN" w:bidi="ar-SA"/>
        </w:rPr>
      </w:pPr>
      <w:r>
        <w:rPr>
          <w:rFonts w:hint="eastAsia" w:ascii="仿宋_GB2312" w:hAnsi="仿宋_GB2312" w:eastAsia="仿宋_GB2312" w:cs="仿宋_GB2312"/>
          <w:bCs w:val="0"/>
          <w:color w:val="000000"/>
          <w:kern w:val="44"/>
          <w:sz w:val="30"/>
          <w:szCs w:val="30"/>
          <w:highlight w:val="none"/>
          <w:lang w:val="en-US" w:eastAsia="zh-CN" w:bidi="ar-SA"/>
        </w:rPr>
        <w:fldChar w:fldCharType="begin"/>
      </w:r>
      <w:r>
        <w:rPr>
          <w:rFonts w:hint="eastAsia" w:ascii="仿宋_GB2312" w:hAnsi="仿宋_GB2312" w:eastAsia="仿宋_GB2312" w:cs="仿宋_GB2312"/>
          <w:bCs w:val="0"/>
          <w:color w:val="000000"/>
          <w:kern w:val="44"/>
          <w:sz w:val="30"/>
          <w:szCs w:val="30"/>
          <w:highlight w:val="none"/>
          <w:lang w:val="en-US" w:eastAsia="zh-CN" w:bidi="ar-SA"/>
        </w:rPr>
        <w:instrText xml:space="preserve"> HYPERLINK \l _Toc3236 </w:instrText>
      </w:r>
      <w:r>
        <w:rPr>
          <w:rFonts w:hint="eastAsia" w:ascii="仿宋_GB2312" w:hAnsi="仿宋_GB2312" w:eastAsia="仿宋_GB2312" w:cs="仿宋_GB2312"/>
          <w:bCs w:val="0"/>
          <w:color w:val="000000"/>
          <w:kern w:val="44"/>
          <w:sz w:val="30"/>
          <w:szCs w:val="30"/>
          <w:highlight w:val="none"/>
          <w:lang w:val="en-US" w:eastAsia="zh-CN" w:bidi="ar-SA"/>
        </w:rPr>
        <w:fldChar w:fldCharType="separate"/>
      </w:r>
      <w:r>
        <w:rPr>
          <w:rFonts w:hint="eastAsia" w:ascii="仿宋_GB2312" w:hAnsi="仿宋_GB2312" w:eastAsia="仿宋_GB2312" w:cs="仿宋_GB2312"/>
          <w:kern w:val="44"/>
          <w:sz w:val="30"/>
          <w:szCs w:val="30"/>
          <w:lang w:val="en-US" w:eastAsia="zh-CN" w:bidi="ar-SA"/>
        </w:rPr>
        <w:t>黄金制品进出口审批（受理、初审）办事指南</w:t>
      </w:r>
      <w:r>
        <w:rPr>
          <w:rFonts w:hint="eastAsia" w:ascii="仿宋_GB2312" w:hAnsi="仿宋_GB2312" w:eastAsia="仿宋_GB2312" w:cs="仿宋_GB2312"/>
          <w:kern w:val="44"/>
          <w:sz w:val="30"/>
          <w:szCs w:val="30"/>
          <w:lang w:val="en-US" w:eastAsia="zh-CN" w:bidi="ar-SA"/>
        </w:rPr>
        <w:tab/>
      </w:r>
      <w:r>
        <w:rPr>
          <w:rFonts w:hint="eastAsia" w:ascii="仿宋_GB2312" w:hAnsi="仿宋_GB2312" w:eastAsia="仿宋_GB2312" w:cs="仿宋_GB2312"/>
          <w:kern w:val="44"/>
          <w:sz w:val="30"/>
          <w:szCs w:val="30"/>
          <w:lang w:val="en-US" w:eastAsia="zh-CN" w:bidi="ar-SA"/>
        </w:rPr>
        <w:fldChar w:fldCharType="begin"/>
      </w:r>
      <w:r>
        <w:rPr>
          <w:rFonts w:hint="eastAsia" w:ascii="仿宋_GB2312" w:hAnsi="仿宋_GB2312" w:eastAsia="仿宋_GB2312" w:cs="仿宋_GB2312"/>
          <w:kern w:val="44"/>
          <w:sz w:val="30"/>
          <w:szCs w:val="30"/>
          <w:lang w:val="en-US" w:eastAsia="zh-CN" w:bidi="ar-SA"/>
        </w:rPr>
        <w:instrText xml:space="preserve"> PAGEREF _Toc3236 </w:instrText>
      </w:r>
      <w:r>
        <w:rPr>
          <w:rFonts w:hint="eastAsia" w:ascii="仿宋_GB2312" w:hAnsi="仿宋_GB2312" w:eastAsia="仿宋_GB2312" w:cs="仿宋_GB2312"/>
          <w:kern w:val="44"/>
          <w:sz w:val="30"/>
          <w:szCs w:val="30"/>
          <w:lang w:val="en-US" w:eastAsia="zh-CN" w:bidi="ar-SA"/>
        </w:rPr>
        <w:fldChar w:fldCharType="separate"/>
      </w:r>
      <w:r>
        <w:rPr>
          <w:rFonts w:hint="eastAsia" w:ascii="仿宋_GB2312" w:hAnsi="仿宋_GB2312" w:eastAsia="仿宋_GB2312" w:cs="仿宋_GB2312"/>
          <w:kern w:val="44"/>
          <w:sz w:val="30"/>
          <w:szCs w:val="30"/>
          <w:lang w:val="en-US" w:eastAsia="zh-CN" w:bidi="ar-SA"/>
        </w:rPr>
        <w:t>- 23 -</w:t>
      </w:r>
      <w:r>
        <w:rPr>
          <w:rFonts w:hint="eastAsia" w:ascii="仿宋_GB2312" w:hAnsi="仿宋_GB2312" w:eastAsia="仿宋_GB2312" w:cs="仿宋_GB2312"/>
          <w:kern w:val="44"/>
          <w:sz w:val="30"/>
          <w:szCs w:val="30"/>
          <w:lang w:val="en-US" w:eastAsia="zh-CN" w:bidi="ar-SA"/>
        </w:rPr>
        <w:fldChar w:fldCharType="end"/>
      </w:r>
      <w:r>
        <w:rPr>
          <w:rFonts w:hint="eastAsia" w:ascii="仿宋_GB2312" w:hAnsi="仿宋_GB2312" w:eastAsia="仿宋_GB2312" w:cs="仿宋_GB2312"/>
          <w:bCs w:val="0"/>
          <w:color w:val="000000"/>
          <w:kern w:val="44"/>
          <w:sz w:val="30"/>
          <w:szCs w:val="30"/>
          <w:highlight w:val="none"/>
          <w:lang w:val="en-US" w:eastAsia="zh-CN" w:bidi="ar-SA"/>
        </w:rPr>
        <w:fldChar w:fldCharType="end"/>
      </w:r>
    </w:p>
    <w:p>
      <w:pPr>
        <w:pStyle w:val="2"/>
        <w:rPr>
          <w:rFonts w:hint="eastAsia" w:ascii="黑体" w:hAnsi="黑体" w:eastAsia="黑体" w:cs="黑体"/>
          <w:b w:val="0"/>
          <w:bCs w:val="0"/>
          <w:color w:val="000000"/>
          <w:sz w:val="44"/>
          <w:szCs w:val="44"/>
          <w:highlight w:val="none"/>
          <w:lang w:eastAsia="zh-CN"/>
        </w:rPr>
      </w:pPr>
      <w:r>
        <w:rPr>
          <w:rFonts w:hint="eastAsia" w:ascii="黑体" w:hAnsi="黑体" w:eastAsia="黑体" w:cs="黑体"/>
          <w:bCs w:val="0"/>
          <w:color w:val="000000"/>
          <w:kern w:val="44"/>
          <w:szCs w:val="44"/>
          <w:highlight w:val="none"/>
          <w:lang w:val="en-US" w:eastAsia="zh-CN" w:bidi="ar-SA"/>
        </w:rPr>
        <w:fldChar w:fldCharType="end"/>
      </w:r>
    </w:p>
    <w:p>
      <w:pPr>
        <w:pStyle w:val="2"/>
        <w:wordWrap/>
        <w:adjustRightInd/>
        <w:snapToGrid/>
        <w:spacing w:line="560" w:lineRule="exact"/>
        <w:textAlignment w:val="auto"/>
        <w:rPr>
          <w:rFonts w:hint="eastAsia" w:ascii="黑体" w:hAnsi="黑体" w:eastAsia="黑体" w:cs="黑体"/>
          <w:sz w:val="44"/>
          <w:szCs w:val="44"/>
          <w:highlight w:val="none"/>
          <w:lang w:val="en-US" w:eastAsia="zh-CN"/>
        </w:rPr>
      </w:pPr>
      <w:r>
        <w:rPr>
          <w:rFonts w:hint="eastAsia" w:ascii="黑体" w:hAnsi="黑体" w:eastAsia="黑体" w:cs="黑体"/>
          <w:b w:val="0"/>
          <w:bCs w:val="0"/>
          <w:color w:val="000000"/>
          <w:sz w:val="44"/>
          <w:szCs w:val="44"/>
          <w:highlight w:val="none"/>
          <w:lang w:eastAsia="zh-CN"/>
        </w:rPr>
        <w:br w:type="page"/>
      </w:r>
      <w:bookmarkStart w:id="0" w:name="_Toc31449"/>
      <w:r>
        <w:rPr>
          <w:rStyle w:val="19"/>
          <w:rFonts w:hint="eastAsia"/>
          <w:lang w:eastAsia="zh-CN"/>
        </w:rPr>
        <w:t>银行账户开户许可证核发（除企业法人、非法人企业、个体工商户外）办事指南</w:t>
      </w:r>
      <w:bookmarkEnd w:id="0"/>
    </w:p>
    <w:p>
      <w:pPr>
        <w:wordWrap/>
        <w:adjustRightInd/>
        <w:snapToGrid/>
        <w:spacing w:line="560" w:lineRule="exact"/>
        <w:ind w:left="0" w:leftChars="0" w:firstLine="600" w:firstLineChars="200"/>
        <w:jc w:val="both"/>
        <w:textAlignment w:val="auto"/>
        <w:outlineLvl w:val="9"/>
        <w:rPr>
          <w:rFonts w:hint="eastAsia" w:ascii="黑体" w:hAnsi="华文中宋" w:eastAsia="黑体"/>
          <w:sz w:val="30"/>
          <w:szCs w:val="30"/>
          <w:highlight w:val="none"/>
        </w:rPr>
      </w:pP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highlight w:val="none"/>
        </w:rPr>
      </w:pPr>
      <w:r>
        <w:rPr>
          <w:rFonts w:hint="eastAsia" w:ascii="黑体" w:hAnsi="华文中宋" w:eastAsia="黑体"/>
          <w:sz w:val="32"/>
          <w:szCs w:val="32"/>
          <w:highlight w:val="none"/>
        </w:rPr>
        <w:t>一、事项名称</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val="0"/>
          <w:bCs w:val="0"/>
          <w:color w:val="000000"/>
          <w:sz w:val="32"/>
          <w:szCs w:val="32"/>
          <w:highlight w:val="none"/>
          <w:lang w:eastAsia="zh-CN"/>
        </w:rPr>
        <w:t>银行账户开户许可证核发（除企业法人、非法人企业、个体工商户外）</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highlight w:val="none"/>
        </w:rPr>
      </w:pPr>
      <w:r>
        <w:rPr>
          <w:rFonts w:hint="eastAsia" w:ascii="黑体" w:hAnsi="华文中宋" w:eastAsia="黑体"/>
          <w:sz w:val="32"/>
          <w:szCs w:val="32"/>
          <w:highlight w:val="none"/>
        </w:rPr>
        <w:t>二、事项类别</w:t>
      </w:r>
    </w:p>
    <w:p>
      <w:pPr>
        <w:wordWrap/>
        <w:adjustRightInd/>
        <w:snapToGrid/>
        <w:spacing w:line="560" w:lineRule="exact"/>
        <w:ind w:left="0" w:leftChars="0" w:firstLine="640" w:firstLineChars="200"/>
        <w:jc w:val="both"/>
        <w:textAlignment w:val="auto"/>
        <w:outlineLvl w:val="9"/>
        <w:rPr>
          <w:rFonts w:hint="default" w:ascii="仿宋_GB2312" w:hAnsi="Times New Roman" w:eastAsia="仿宋_GB2312" w:cs="仿宋_GB2312"/>
          <w:b w:val="0"/>
          <w:i w:val="0"/>
          <w:caps w:val="0"/>
          <w:color w:val="000000"/>
          <w:spacing w:val="0"/>
          <w:sz w:val="32"/>
          <w:szCs w:val="32"/>
          <w:highlight w:val="none"/>
        </w:rPr>
      </w:pPr>
      <w:r>
        <w:rPr>
          <w:rFonts w:hint="default" w:ascii="仿宋_GB2312" w:hAnsi="Times New Roman" w:eastAsia="仿宋_GB2312" w:cs="仿宋_GB2312"/>
          <w:b w:val="0"/>
          <w:i w:val="0"/>
          <w:caps w:val="0"/>
          <w:color w:val="000000"/>
          <w:spacing w:val="0"/>
          <w:sz w:val="32"/>
          <w:szCs w:val="32"/>
          <w:highlight w:val="none"/>
        </w:rPr>
        <w:t>行政许可事项</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highlight w:val="none"/>
        </w:rPr>
      </w:pPr>
      <w:r>
        <w:rPr>
          <w:rFonts w:hint="eastAsia" w:ascii="黑体" w:hAnsi="华文中宋" w:eastAsia="黑体"/>
          <w:sz w:val="32"/>
          <w:szCs w:val="32"/>
          <w:highlight w:val="none"/>
        </w:rPr>
        <w:t>三、办理依据</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shd w:val="clear" w:color="auto" w:fill="FFFFFF"/>
          <w:lang w:val="en-US" w:eastAsia="zh-CN"/>
        </w:rPr>
      </w:pPr>
      <w:r>
        <w:rPr>
          <w:rFonts w:hint="eastAsia" w:ascii="仿宋_GB2312" w:hAnsi="仿宋_GB2312" w:eastAsia="仿宋_GB2312" w:cs="仿宋_GB2312"/>
          <w:sz w:val="32"/>
          <w:szCs w:val="32"/>
          <w:highlight w:val="none"/>
          <w:shd w:val="clear" w:color="auto" w:fill="FFFFFF"/>
          <w:lang w:val="zh-CN" w:eastAsia="zh-CN"/>
        </w:rPr>
        <w:t>《国务院</w:t>
      </w:r>
      <w:r>
        <w:rPr>
          <w:rFonts w:hint="eastAsia" w:ascii="仿宋_GB2312" w:hAnsi="仿宋_GB2312" w:eastAsia="仿宋_GB2312" w:cs="仿宋_GB2312"/>
          <w:sz w:val="32"/>
          <w:szCs w:val="32"/>
          <w:highlight w:val="none"/>
          <w:shd w:val="clear" w:color="auto" w:fill="FFFFFF"/>
          <w:lang w:val="en-US" w:eastAsia="zh-CN"/>
        </w:rPr>
        <w:t>对确需保留的行政审批项目设定行政许可的决定</w:t>
      </w:r>
      <w:r>
        <w:rPr>
          <w:rFonts w:hint="eastAsia" w:ascii="仿宋_GB2312" w:hAnsi="仿宋_GB2312" w:eastAsia="仿宋_GB2312" w:cs="仿宋_GB2312"/>
          <w:sz w:val="32"/>
          <w:szCs w:val="32"/>
          <w:highlight w:val="none"/>
          <w:shd w:val="clear" w:color="auto" w:fill="FFFFFF"/>
          <w:lang w:val="zh-CN" w:eastAsia="zh-CN"/>
        </w:rPr>
        <w:t>》（中华人民共和国国务院令第</w:t>
      </w:r>
      <w:r>
        <w:rPr>
          <w:rFonts w:hint="eastAsia" w:ascii="仿宋_GB2312" w:hAnsi="仿宋_GB2312" w:eastAsia="仿宋_GB2312" w:cs="仿宋_GB2312"/>
          <w:sz w:val="32"/>
          <w:szCs w:val="32"/>
          <w:highlight w:val="none"/>
          <w:shd w:val="clear" w:color="auto" w:fill="FFFFFF"/>
          <w:lang w:val="en-US" w:eastAsia="zh-CN"/>
        </w:rPr>
        <w:t>412号发布)、《人民币银行结算账户管理办法》（中国人民银行令〔2003〕第5号发布）、《中国人民银行关于取消企业银行账户许可有关事宜的决定》（中国人民银行令〔2019〕第1号发布）。</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highlight w:val="none"/>
        </w:rPr>
      </w:pPr>
      <w:r>
        <w:rPr>
          <w:rFonts w:hint="eastAsia" w:ascii="黑体" w:hAnsi="华文中宋" w:eastAsia="黑体"/>
          <w:sz w:val="32"/>
          <w:szCs w:val="32"/>
          <w:highlight w:val="none"/>
        </w:rPr>
        <w:t>四、受理部门</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中国人民银行青岛市</w:t>
      </w:r>
      <w:r>
        <w:rPr>
          <w:rFonts w:hint="eastAsia" w:ascii="仿宋_GB2312" w:hAnsi="仿宋_GB2312" w:eastAsia="仿宋_GB2312" w:cs="仿宋_GB2312"/>
          <w:sz w:val="32"/>
          <w:szCs w:val="32"/>
          <w:highlight w:val="none"/>
          <w:lang w:eastAsia="zh-CN"/>
        </w:rPr>
        <w:t>分</w:t>
      </w:r>
      <w:r>
        <w:rPr>
          <w:rFonts w:hint="eastAsia" w:ascii="仿宋_GB2312" w:hAnsi="仿宋_GB2312" w:eastAsia="仿宋_GB2312" w:cs="仿宋_GB2312"/>
          <w:sz w:val="32"/>
          <w:szCs w:val="32"/>
          <w:highlight w:val="none"/>
        </w:rPr>
        <w:t>行</w:t>
      </w:r>
      <w:r>
        <w:rPr>
          <w:rFonts w:hint="eastAsia" w:ascii="仿宋_GB2312" w:hAnsi="仿宋_GB2312" w:eastAsia="仿宋_GB2312" w:cs="仿宋_GB2312"/>
          <w:sz w:val="32"/>
          <w:szCs w:val="32"/>
          <w:highlight w:val="none"/>
          <w:lang w:eastAsia="zh-CN"/>
        </w:rPr>
        <w:t>支付结算处</w:t>
      </w:r>
    </w:p>
    <w:p>
      <w:pPr>
        <w:numPr>
          <w:ilvl w:val="0"/>
          <w:numId w:val="1"/>
        </w:numPr>
        <w:wordWrap/>
        <w:adjustRightInd/>
        <w:snapToGrid/>
        <w:spacing w:line="560" w:lineRule="exact"/>
        <w:ind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受理层级</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highlight w:val="none"/>
          <w:lang w:val="en-US" w:eastAsia="zh-CN"/>
        </w:rPr>
      </w:pPr>
      <w:r>
        <w:rPr>
          <w:rFonts w:hint="eastAsia" w:ascii="仿宋_GB2312" w:hAnsi="仿宋_GB2312" w:eastAsia="仿宋_GB2312" w:cs="仿宋_GB2312"/>
          <w:color w:val="000000"/>
          <w:sz w:val="32"/>
          <w:szCs w:val="32"/>
          <w:lang w:val="en-US" w:eastAsia="zh-CN"/>
        </w:rPr>
        <w:t>青岛市本级、青岛市下辖各区、市</w:t>
      </w:r>
    </w:p>
    <w:p>
      <w:pPr>
        <w:numPr>
          <w:ilvl w:val="0"/>
          <w:numId w:val="0"/>
        </w:numPr>
        <w:wordWrap/>
        <w:adjustRightInd/>
        <w:snapToGrid/>
        <w:spacing w:line="560" w:lineRule="exact"/>
        <w:ind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六、办理</w:t>
      </w:r>
      <w:r>
        <w:rPr>
          <w:rFonts w:hint="eastAsia" w:ascii="黑体" w:hAnsi="黑体" w:eastAsia="黑体" w:cs="黑体"/>
          <w:sz w:val="32"/>
          <w:szCs w:val="32"/>
          <w:highlight w:val="none"/>
        </w:rPr>
        <w:t>流程</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eastAsia="zh-CN"/>
        </w:rPr>
        <w:t>（一）申请人条件。</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存款人在中国境内的银行可开立银行结算账户。存款人是指在中国境内开立银行结算</w:t>
      </w:r>
      <w:r>
        <w:rPr>
          <w:rFonts w:hint="eastAsia" w:ascii="仿宋_GB2312" w:hAnsi="仿宋_GB2312" w:eastAsia="仿宋_GB2312" w:cs="仿宋_GB2312"/>
          <w:color w:val="000000"/>
          <w:sz w:val="32"/>
          <w:szCs w:val="32"/>
          <w:highlight w:val="none"/>
        </w:rPr>
        <w:t>账户的</w:t>
      </w:r>
      <w:r>
        <w:rPr>
          <w:rFonts w:hint="eastAsia" w:ascii="仿宋_GB2312" w:hAnsi="仿宋_GB2312" w:eastAsia="仿宋_GB2312" w:cs="仿宋_GB2312"/>
          <w:sz w:val="32"/>
          <w:szCs w:val="32"/>
          <w:highlight w:val="none"/>
          <w:lang w:eastAsia="zh-CN"/>
        </w:rPr>
        <w:t>机关、事业单位，团级（含）以上军队、武警部队及分散执勤的支（分）队，社会团体，民办非企业组织，异地常设机构，外国驻华机构，居民委员会、村民委员会、社区委员会，单位设立的独立核算的附属结构，其他组织</w:t>
      </w:r>
      <w:r>
        <w:rPr>
          <w:rFonts w:hint="eastAsia" w:ascii="仿宋_GB2312" w:hAnsi="仿宋_GB2312" w:eastAsia="仿宋_GB2312" w:cs="仿宋_GB2312"/>
          <w:color w:val="000000"/>
          <w:sz w:val="32"/>
          <w:szCs w:val="32"/>
          <w:highlight w:val="none"/>
        </w:rPr>
        <w:t>。</w:t>
      </w:r>
      <w:r>
        <w:rPr>
          <w:rFonts w:hint="eastAsia" w:ascii="仿宋_GB2312" w:eastAsia="仿宋_GB2312"/>
          <w:color w:val="000000"/>
          <w:sz w:val="32"/>
          <w:szCs w:val="32"/>
          <w:highlight w:val="none"/>
        </w:rPr>
        <w:t>银行是指在中国境内经中国人民银行批准经营支付结算业务的政策性银行、商业银行（含外资独资银行、中外合资银行、外国银行分行）、农村合作银行、城市信用合作社、农村信用合作社。银行结算账户是指银行为存款人开立的办理资金收付结算的人民币活期存款账户。</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存款人开立基本存款账户、临时存款账户和预算单位开立专用存款账户实行核准制度。</w:t>
      </w:r>
    </w:p>
    <w:p>
      <w:pPr>
        <w:wordWrap/>
        <w:adjustRightInd/>
        <w:snapToGrid/>
        <w:spacing w:line="560" w:lineRule="exact"/>
        <w:ind w:firstLine="63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（二）符合如下条</w:t>
      </w:r>
      <w:r>
        <w:rPr>
          <w:rFonts w:hint="eastAsia" w:ascii="楷体_GB2312" w:hAnsi="楷体_GB2312" w:eastAsia="楷体_GB2312" w:cs="楷体_GB2312"/>
          <w:color w:val="auto"/>
          <w:sz w:val="32"/>
          <w:szCs w:val="32"/>
          <w:highlight w:val="none"/>
        </w:rPr>
        <w:t>件的，准予批准：</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1.申请人提交的申请材料齐全、符合法定形式。</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2.银行结算账户的存款人只能在银行开立一个基本存款账户。存款人应在注册地或住所地开立银行结算账户。符合《人民币银行结算账户管理办法》规定可以在异地（跨省、市、县）开立银行结算账户的除外。</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3.单位开立银行结算账户的名称应与其提供的申请开户的证明文件的名称全称相一致。</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按照国家有关规定或存款人资金管理有特殊需要的，存款人开立的专用存款账户的名称可以为单位名称后加内设机构(部门)名称或资金性质，但专用存款账户的预留签章应与专用存款账户名称一致。</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基本存款账户是存款人因办理日常转账结算和现金收付需要开立的银行结算账户。下列存款人可以申请开立基本存款账户:机关、事业单位、团级(含)以上军队、武警部队及分散执勤的支（分）队、社会团体、民办非企业组织、异地常设机构、外国驻华机构、居民委员会、村民委员会、社区委员会、单位设立的独立核算的附属机构、其他组织。</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5.专用存款账户是存款人按照法律、行政法规和规章，对其特定用途资金进行专项管理和使用而开立的银行结算账户。对下列资金的管理与使用，存款人可以申请开立专用存款账户:基本建设资金、更新改造资金、财政预算外资金、粮、棉、油收购资金、证券交易结算资金、期货交易保证金、信托基金、金融机构存放同业资金、政策性房地产开发资金、单位银行卡备用金、住房基金、社会保障基金、收入汇缴资金和业务支出资金、党、团、工会设在单位的组织机构经费、其他需要专项管理和使用的资金。收入汇缴资金和业务支出资金，是指基本存款账户存款人附属的非独立核算单位或派出机构发生的收入和支出的资金。因收入汇缴资金和业务支出资金开立的专用存款账户，应使用隶属单位的名称。</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6.临时存款账户是存款人因临时需要并在规定期限内使用而开立的银行结算账户。临时机构可以申请开立临时存款账户。</w:t>
      </w:r>
    </w:p>
    <w:p>
      <w:pPr>
        <w:wordWrap/>
        <w:adjustRightInd/>
        <w:snapToGrid/>
        <w:spacing w:line="560" w:lineRule="exact"/>
        <w:ind w:firstLine="63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（三）有如下情形之一的，不予批准：</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1.申请人提交的申请材料不齐全、或不符合法定形式。</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2.申请不符合法定条件、标准。</w:t>
      </w:r>
    </w:p>
    <w:p>
      <w:pPr>
        <w:wordWrap/>
        <w:adjustRightInd/>
        <w:snapToGrid/>
        <w:spacing w:line="560" w:lineRule="exact"/>
        <w:ind w:firstLine="630"/>
        <w:textAlignment w:val="auto"/>
        <w:outlineLvl w:val="9"/>
        <w:rPr>
          <w:rFonts w:hint="eastAsia" w:ascii="楷体_GB2312" w:hAnsi="楷体_GB2312" w:eastAsia="楷体_GB2312" w:cs="楷体_GB2312"/>
          <w:color w:val="000000"/>
          <w:sz w:val="32"/>
          <w:szCs w:val="32"/>
          <w:highlight w:val="none"/>
        </w:rPr>
      </w:pPr>
      <w:r>
        <w:rPr>
          <w:rFonts w:hint="eastAsia" w:ascii="楷体_GB2312" w:hAnsi="楷体_GB2312" w:eastAsia="楷体_GB2312" w:cs="楷体_GB2312"/>
          <w:color w:val="000000"/>
          <w:sz w:val="32"/>
          <w:szCs w:val="32"/>
          <w:highlight w:val="none"/>
        </w:rPr>
        <w:t>（</w:t>
      </w:r>
      <w:r>
        <w:rPr>
          <w:rFonts w:hint="eastAsia" w:ascii="楷体_GB2312" w:hAnsi="楷体_GB2312" w:eastAsia="楷体_GB2312" w:cs="楷体_GB2312"/>
          <w:color w:val="000000"/>
          <w:sz w:val="32"/>
          <w:szCs w:val="32"/>
          <w:highlight w:val="none"/>
          <w:lang w:eastAsia="zh-CN"/>
        </w:rPr>
        <w:t>四</w:t>
      </w:r>
      <w:r>
        <w:rPr>
          <w:rFonts w:hint="eastAsia" w:ascii="楷体_GB2312" w:hAnsi="楷体_GB2312" w:eastAsia="楷体_GB2312" w:cs="楷体_GB2312"/>
          <w:color w:val="000000"/>
          <w:sz w:val="32"/>
          <w:szCs w:val="32"/>
          <w:highlight w:val="none"/>
        </w:rPr>
        <w:t>）申请材料清单</w:t>
      </w:r>
      <w:r>
        <w:rPr>
          <w:rFonts w:hint="eastAsia" w:ascii="楷体_GB2312" w:hAnsi="楷体_GB2312" w:eastAsia="楷体_GB2312" w:cs="楷体_GB2312"/>
          <w:color w:val="000000"/>
          <w:sz w:val="32"/>
          <w:szCs w:val="32"/>
          <w:highlight w:val="none"/>
          <w:lang w:eastAsia="zh-CN"/>
        </w:rPr>
        <w:t>。</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1.基本存款账户申请资料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①存款人身份证件资料：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机关和实行预算管理的事业单位，应出具政府人事部门或编制委员会的批文或登记证书和财政部门同意其开户的证明；非预算管理的事业单位，应出具政府人事部门或编制委员会的批文或登记证书；军队、武警团级(含)以上单位以及分散执勤的支（分）队，应出具军队军级以上单位财务部门、武警总队财务部门的开户证明；社会团体，应出具社会团体登记证书，宗教组织还应出具宗教事务管理部门的批文或证明；民办非企业组织，应出具民办非企业登记证书；外地常设机构，应出具其驻在地政府主管部门的批文；外国驻华机构，应出具国家有关主管部门的批文或证明；外资企业驻华代表处、办事处应出具国家登记机关颁发的登记证；居民委员会、村民委员会、社区委员会，应出具其主管部门的批文或证明；独立核算的附属机构，应出具其主管部门的基本存款账户开户许可证和批文；其他组织，应出具政府主管部门的批文或证明。存款人为从事生产、经营活动纳税人的，还应出具税务部门颁发的税务登记证。</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②存款人的法定代表人或单位负责人的身份证明资料。授权他人办理的，除出具相应的证明文件外，还应出具其法定代表人或单位负责人的授权书</w:t>
      </w:r>
      <w:r>
        <w:rPr>
          <w:rFonts w:hint="eastAsia" w:ascii="仿宋_GB2312" w:eastAsia="仿宋_GB2312"/>
          <w:color w:val="000000"/>
          <w:sz w:val="32"/>
          <w:szCs w:val="32"/>
          <w:highlight w:val="none"/>
          <w:lang w:eastAsia="zh-CN"/>
        </w:rPr>
        <w:t>和</w:t>
      </w:r>
      <w:r>
        <w:rPr>
          <w:rFonts w:hint="eastAsia" w:ascii="仿宋_GB2312" w:eastAsia="仿宋_GB2312"/>
          <w:color w:val="000000"/>
          <w:sz w:val="32"/>
          <w:szCs w:val="32"/>
          <w:highlight w:val="none"/>
        </w:rPr>
        <w:t>身份证件，</w:t>
      </w:r>
      <w:r>
        <w:rPr>
          <w:rFonts w:hint="eastAsia" w:ascii="仿宋_GB2312" w:eastAsia="仿宋_GB2312"/>
          <w:color w:val="000000"/>
          <w:sz w:val="32"/>
          <w:szCs w:val="32"/>
          <w:highlight w:val="none"/>
          <w:lang w:eastAsia="zh-CN"/>
        </w:rPr>
        <w:t>以及</w:t>
      </w:r>
      <w:r>
        <w:rPr>
          <w:rFonts w:hint="eastAsia" w:ascii="仿宋_GB2312" w:eastAsia="仿宋_GB2312"/>
          <w:color w:val="000000"/>
          <w:sz w:val="32"/>
          <w:szCs w:val="32"/>
          <w:highlight w:val="none"/>
        </w:rPr>
        <w:t>被授权人的身份证件。</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2.专用存款账户申请资料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①存款人基本存款账户开设所需的全部资料；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②存款人当前的基本存款账户开户许可证；</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③根据存款人开立专用存款账户的资金性质，还需提供如下资料：</w:t>
      </w:r>
    </w:p>
    <w:tbl>
      <w:tblPr>
        <w:tblStyle w:val="16"/>
        <w:tblW w:w="8291"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814"/>
        <w:gridCol w:w="447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55"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资金性质</w:t>
            </w:r>
          </w:p>
        </w:tc>
        <w:tc>
          <w:tcPr>
            <w:tcW w:w="4477" w:type="dxa"/>
            <w:tcBorders>
              <w:top w:val="single" w:color="auto" w:sz="8" w:space="0"/>
              <w:left w:val="single" w:color="auto" w:sz="8" w:space="0"/>
              <w:bottom w:val="single" w:color="auto" w:sz="8" w:space="0"/>
              <w:right w:val="single" w:color="auto" w:sz="8" w:space="0"/>
            </w:tcBorders>
            <w:vAlign w:val="top"/>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住房基金</w:t>
            </w:r>
          </w:p>
        </w:tc>
        <w:tc>
          <w:tcPr>
            <w:tcW w:w="4477" w:type="dxa"/>
            <w:vMerge w:val="restart"/>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主管部门批文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基本建设资金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560" w:lineRule="exact"/>
              <w:jc w:val="center"/>
              <w:textAlignment w:val="auto"/>
              <w:rPr>
                <w:rFonts w:hint="eastAsia" w:ascii="宋体" w:hAnsi="宋体" w:eastAsia="宋体" w:cs="宋体"/>
                <w:b w:val="0"/>
                <w:bCs/>
                <w:color w:val="auto"/>
                <w:sz w:val="22"/>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更新改造资金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560" w:lineRule="exact"/>
              <w:jc w:val="center"/>
              <w:textAlignment w:val="auto"/>
              <w:rPr>
                <w:rFonts w:hint="eastAsia" w:ascii="宋体" w:hAnsi="宋体" w:eastAsia="宋体" w:cs="宋体"/>
                <w:b w:val="0"/>
                <w:bCs/>
                <w:color w:val="auto"/>
                <w:sz w:val="22"/>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社会保障基金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560" w:lineRule="exact"/>
              <w:jc w:val="center"/>
              <w:textAlignment w:val="auto"/>
              <w:rPr>
                <w:rFonts w:hint="eastAsia" w:ascii="宋体" w:hAnsi="宋体" w:eastAsia="宋体" w:cs="宋体"/>
                <w:b w:val="0"/>
                <w:bCs/>
                <w:color w:val="auto"/>
                <w:sz w:val="22"/>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粮、棉、油收购资金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560" w:lineRule="exact"/>
              <w:jc w:val="center"/>
              <w:textAlignment w:val="auto"/>
              <w:rPr>
                <w:rFonts w:hint="eastAsia" w:ascii="宋体" w:hAnsi="宋体" w:eastAsia="宋体" w:cs="宋体"/>
                <w:b w:val="0"/>
                <w:bCs/>
                <w:color w:val="auto"/>
                <w:sz w:val="22"/>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政策性房地产开发资金</w:t>
            </w:r>
          </w:p>
        </w:tc>
        <w:tc>
          <w:tcPr>
            <w:tcW w:w="4477" w:type="dxa"/>
            <w:vMerge w:val="continue"/>
            <w:tcBorders>
              <w:top w:val="single" w:color="auto" w:sz="8" w:space="0"/>
              <w:left w:val="single" w:color="auto" w:sz="8" w:space="0"/>
              <w:bottom w:val="single" w:color="auto" w:sz="8" w:space="0"/>
              <w:right w:val="single" w:color="auto" w:sz="8" w:space="0"/>
            </w:tcBorders>
            <w:vAlign w:val="center"/>
          </w:tcPr>
          <w:p>
            <w:pPr>
              <w:widowControl/>
              <w:wordWrap/>
              <w:adjustRightInd/>
              <w:snapToGrid/>
              <w:spacing w:line="560" w:lineRule="exact"/>
              <w:jc w:val="center"/>
              <w:textAlignment w:val="auto"/>
              <w:rPr>
                <w:rFonts w:hint="eastAsia" w:ascii="宋体" w:hAnsi="宋体" w:eastAsia="宋体" w:cs="宋体"/>
                <w:b w:val="0"/>
                <w:bCs/>
                <w:color w:val="auto"/>
                <w:sz w:val="22"/>
                <w:szCs w:val="22"/>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财政预算外资金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财政部门批文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单位银行卡备用金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按照人行批准的银行卡章程规定出示相关资料</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证券交易结算资金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证券公司或证券管理部门的证明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3"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期货交易保证金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期货公司或期货管理部门的证明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金融机构存放同业资金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双方签署的资金存放协议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收入汇缴资金和业务支出资金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基本存款账户存款人有关证明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党、团、工会设在单位的组织机构经费</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该单位或有关部门的批文或证明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0" w:hRule="atLeast"/>
          <w:jc w:val="center"/>
        </w:trPr>
        <w:tc>
          <w:tcPr>
            <w:tcW w:w="3814"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其他按规定需要专项管理和使用的资金</w:t>
            </w:r>
          </w:p>
        </w:tc>
        <w:tc>
          <w:tcPr>
            <w:tcW w:w="4477" w:type="dxa"/>
            <w:tcBorders>
              <w:top w:val="single" w:color="auto" w:sz="8" w:space="0"/>
              <w:left w:val="single" w:color="auto" w:sz="8" w:space="0"/>
              <w:bottom w:val="single" w:color="auto" w:sz="8" w:space="0"/>
              <w:right w:val="single" w:color="auto" w:sz="8" w:space="0"/>
            </w:tcBorders>
            <w:vAlign w:val="center"/>
          </w:tcPr>
          <w:p>
            <w:pPr>
              <w:widowControl/>
              <w:pBdr>
                <w:top w:val="none" w:color="auto" w:sz="0" w:space="0"/>
                <w:left w:val="none" w:color="auto" w:sz="0" w:space="0"/>
                <w:bottom w:val="none" w:color="auto" w:sz="0" w:space="0"/>
                <w:right w:val="none" w:color="auto" w:sz="0" w:space="0"/>
              </w:pBdr>
              <w:wordWrap/>
              <w:adjustRightInd/>
              <w:snapToGrid/>
              <w:spacing w:before="0" w:beforeLines="0" w:beforeAutospacing="0" w:after="0" w:afterLines="0" w:afterAutospacing="0" w:line="560" w:lineRule="exact"/>
              <w:ind w:left="0" w:right="0" w:firstLine="0"/>
              <w:jc w:val="center"/>
              <w:textAlignment w:val="auto"/>
              <w:rPr>
                <w:rFonts w:hint="eastAsia" w:ascii="宋体" w:hAnsi="宋体" w:eastAsia="宋体" w:cs="宋体"/>
                <w:b w:val="0"/>
                <w:bCs/>
                <w:color w:val="auto"/>
                <w:sz w:val="22"/>
                <w:szCs w:val="22"/>
                <w:highlight w:val="none"/>
              </w:rPr>
            </w:pPr>
            <w:r>
              <w:rPr>
                <w:rFonts w:hint="eastAsia" w:ascii="宋体" w:hAnsi="宋体" w:eastAsia="宋体" w:cs="宋体"/>
                <w:b w:val="0"/>
                <w:bCs/>
                <w:color w:val="auto"/>
                <w:kern w:val="0"/>
                <w:sz w:val="22"/>
                <w:szCs w:val="22"/>
                <w:highlight w:val="none"/>
                <w:lang w:val="en-US" w:eastAsia="zh-CN"/>
              </w:rPr>
              <w:t>有关的法规、规章或政府部门的有关文件</w:t>
            </w:r>
          </w:p>
        </w:tc>
      </w:tr>
    </w:tbl>
    <w:p>
      <w:pPr>
        <w:wordWrap/>
        <w:adjustRightInd/>
        <w:snapToGrid/>
        <w:spacing w:line="560" w:lineRule="exact"/>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val="en-US" w:eastAsia="zh-CN"/>
        </w:rPr>
        <w:t xml:space="preserve">    </w:t>
      </w:r>
      <w:r>
        <w:rPr>
          <w:rFonts w:hint="eastAsia" w:ascii="仿宋_GB2312" w:eastAsia="仿宋_GB2312"/>
          <w:color w:val="000000"/>
          <w:sz w:val="32"/>
          <w:szCs w:val="32"/>
          <w:highlight w:val="none"/>
        </w:rPr>
        <w:t>④实行预算管理的存款人（存款人类别为机关、实行预算管理的事业单位），开立的专用存款账户为预算单位专用存款账户，还需要出具其财政主管部门同意其开立该预算单位专用存款账户的批文批复。</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⑤存款人以单位名称后加内设机构(部门)名称开立专用存款账户时，还应出具单位内设机构(部门)负责人的身份证件、单位授权该内设机构(部门)开户的授权书。</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3.临时存款账户申请资料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存款人应提供其驻在地主管部门同意设立临时机构的批文，纳入预算管理的临时机构还应提供财政部门同意其开户的证明。存款人只能在其驻在地开立一个临时存款账户，不得开立其他银行结算账户。</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lang w:eastAsia="zh-CN"/>
        </w:rPr>
        <w:t>除企业外的单位申请开立临时存款账户和预算单位专用存款账户时，中国人民银行青岛市分行应当通过告知书将基本存款账户开户许可证证明事项等承诺制规定内容一次性告知申请人，申请人选择适用告知承诺制的，以承诺书形式对规定内容进行承诺确认并愿意承担不实承诺的法律责任，不再要求申请人提交基本存款账户开户许可证并依据书面承诺办理该行政事项。</w:t>
      </w:r>
    </w:p>
    <w:p>
      <w:pPr>
        <w:wordWrap/>
        <w:adjustRightInd/>
        <w:snapToGrid/>
        <w:spacing w:line="560" w:lineRule="exact"/>
        <w:ind w:firstLine="630"/>
        <w:textAlignment w:val="auto"/>
        <w:outlineLvl w:val="9"/>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eastAsia="zh-CN"/>
        </w:rPr>
        <w:t>（五）</w:t>
      </w:r>
      <w:r>
        <w:rPr>
          <w:rFonts w:hint="eastAsia" w:ascii="楷体_GB2312" w:hAnsi="楷体_GB2312" w:eastAsia="楷体_GB2312" w:cs="楷体_GB2312"/>
          <w:color w:val="000000"/>
          <w:sz w:val="32"/>
          <w:szCs w:val="32"/>
          <w:highlight w:val="none"/>
        </w:rPr>
        <w:t>申请材料提交</w:t>
      </w:r>
      <w:r>
        <w:rPr>
          <w:rFonts w:hint="eastAsia" w:ascii="楷体_GB2312" w:hAnsi="楷体_GB2312" w:eastAsia="楷体_GB2312" w:cs="楷体_GB2312"/>
          <w:color w:val="000000"/>
          <w:sz w:val="32"/>
          <w:szCs w:val="32"/>
          <w:highlight w:val="none"/>
          <w:lang w:eastAsia="zh-CN"/>
        </w:rPr>
        <w:t>。</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申请人开立基本存款账户、临时存款账户和预算单位专用存款账户应先向银行机构提交相关资料的原件及复印件，并填制银行提供的开户申请书。</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申请人开立基本存款账户、临时存款账户和预算单位专用存款账户应先向银行机构提交相关资料的原件及复印件，并填制银行提供的《开立单位银行结算账户申请书》。银行应对存款人的开户申请书填写的事项和证明文件的真实性、完整性、合规性进行认真审查。开户申请书填写的事项齐全，符合开立基本存款账户、专用存款账户和临时存款账户条件的，银行应将存款人的开户申请书、相关的证明文件和银行审核意见等开户申请资料报送中国人民银行</w:t>
      </w:r>
      <w:r>
        <w:rPr>
          <w:rFonts w:hint="eastAsia" w:ascii="仿宋_GB2312" w:eastAsia="仿宋_GB2312"/>
          <w:color w:val="000000"/>
          <w:sz w:val="32"/>
          <w:szCs w:val="32"/>
          <w:highlight w:val="none"/>
          <w:lang w:val="en-US" w:eastAsia="zh-CN"/>
        </w:rPr>
        <w:t>青岛市分行</w:t>
      </w:r>
      <w:r>
        <w:rPr>
          <w:rFonts w:hint="eastAsia" w:ascii="仿宋_GB2312" w:eastAsia="仿宋_GB2312"/>
          <w:color w:val="000000"/>
          <w:sz w:val="32"/>
          <w:szCs w:val="32"/>
          <w:highlight w:val="none"/>
        </w:rPr>
        <w:t>，经中国人民银行</w:t>
      </w:r>
      <w:r>
        <w:rPr>
          <w:rFonts w:hint="eastAsia" w:ascii="仿宋_GB2312" w:eastAsia="仿宋_GB2312"/>
          <w:color w:val="000000"/>
          <w:sz w:val="32"/>
          <w:szCs w:val="32"/>
          <w:highlight w:val="none"/>
          <w:lang w:val="en-US" w:eastAsia="zh-CN"/>
        </w:rPr>
        <w:t>青岛市分行</w:t>
      </w:r>
      <w:r>
        <w:rPr>
          <w:rFonts w:hint="eastAsia" w:ascii="仿宋_GB2312" w:eastAsia="仿宋_GB2312"/>
          <w:color w:val="000000"/>
          <w:sz w:val="32"/>
          <w:szCs w:val="32"/>
          <w:highlight w:val="none"/>
        </w:rPr>
        <w:t>核准后办理开户手续。</w:t>
      </w:r>
    </w:p>
    <w:p>
      <w:pPr>
        <w:wordWrap/>
        <w:adjustRightInd/>
        <w:snapToGrid/>
        <w:spacing w:line="560" w:lineRule="exact"/>
        <w:ind w:firstLine="630"/>
        <w:textAlignment w:val="auto"/>
        <w:outlineLvl w:val="9"/>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eastAsia="zh-CN"/>
        </w:rPr>
        <w:t>（六）申请接收。</w:t>
      </w:r>
    </w:p>
    <w:p>
      <w:pPr>
        <w:wordWrap/>
        <w:adjustRightInd/>
        <w:snapToGrid/>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中国人民银行</w:t>
      </w:r>
      <w:r>
        <w:rPr>
          <w:rFonts w:hint="eastAsia" w:ascii="仿宋_GB2312" w:eastAsia="仿宋_GB2312"/>
          <w:color w:val="000000"/>
          <w:sz w:val="32"/>
          <w:szCs w:val="32"/>
          <w:highlight w:val="none"/>
          <w:u w:val="none" w:color="auto"/>
          <w:lang w:eastAsia="zh-CN"/>
        </w:rPr>
        <w:t>青岛市分行</w:t>
      </w:r>
      <w:r>
        <w:rPr>
          <w:rFonts w:hint="eastAsia" w:ascii="仿宋_GB2312" w:eastAsia="仿宋_GB2312"/>
          <w:color w:val="000000"/>
          <w:sz w:val="32"/>
          <w:szCs w:val="32"/>
          <w:highlight w:val="none"/>
        </w:rPr>
        <w:t>银行账户开户许可证申请资料接收联系人：</w:t>
      </w:r>
      <w:r>
        <w:rPr>
          <w:rFonts w:hint="eastAsia" w:ascii="仿宋_GB2312" w:eastAsia="仿宋_GB2312"/>
          <w:color w:val="000000"/>
          <w:sz w:val="32"/>
          <w:szCs w:val="32"/>
          <w:highlight w:val="none"/>
          <w:lang w:eastAsia="zh-CN"/>
        </w:rPr>
        <w:t>付全成、李卫东。</w:t>
      </w:r>
      <w:r>
        <w:rPr>
          <w:rFonts w:hint="eastAsia" w:ascii="仿宋_GB2312" w:eastAsia="仿宋_GB2312"/>
          <w:color w:val="000000"/>
          <w:sz w:val="32"/>
          <w:szCs w:val="32"/>
          <w:highlight w:val="none"/>
        </w:rPr>
        <w:t>办公地址：</w:t>
      </w:r>
      <w:r>
        <w:rPr>
          <w:rFonts w:hint="eastAsia" w:ascii="仿宋_GB2312" w:eastAsia="仿宋_GB2312"/>
          <w:color w:val="000000"/>
          <w:sz w:val="32"/>
          <w:szCs w:val="32"/>
          <w:highlight w:val="none"/>
          <w:u w:val="none" w:color="auto"/>
          <w:lang w:eastAsia="zh-CN"/>
        </w:rPr>
        <w:t>青岛市市南区延安三路</w:t>
      </w:r>
      <w:r>
        <w:rPr>
          <w:rFonts w:hint="eastAsia" w:ascii="仿宋_GB2312" w:eastAsia="仿宋_GB2312"/>
          <w:color w:val="000000"/>
          <w:sz w:val="32"/>
          <w:szCs w:val="32"/>
          <w:highlight w:val="none"/>
          <w:u w:val="none" w:color="auto"/>
          <w:lang w:val="en-US" w:eastAsia="zh-CN"/>
        </w:rPr>
        <w:t>208号</w:t>
      </w:r>
      <w:r>
        <w:rPr>
          <w:rFonts w:hint="eastAsia" w:ascii="仿宋_GB2312" w:eastAsia="仿宋_GB2312"/>
          <w:color w:val="000000"/>
          <w:sz w:val="32"/>
          <w:szCs w:val="32"/>
          <w:highlight w:val="none"/>
        </w:rPr>
        <w:t>。</w:t>
      </w:r>
    </w:p>
    <w:p>
      <w:pPr>
        <w:numPr>
          <w:ilvl w:val="0"/>
          <w:numId w:val="2"/>
        </w:numPr>
        <w:wordWrap/>
        <w:adjustRightInd/>
        <w:snapToGrid/>
        <w:spacing w:line="560" w:lineRule="exact"/>
        <w:ind w:firstLine="630"/>
        <w:textAlignment w:val="auto"/>
        <w:outlineLvl w:val="9"/>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val="en-US" w:eastAsia="zh-CN"/>
        </w:rPr>
        <w:t>办理基本流程。</w:t>
      </w:r>
      <w:r>
        <w:rPr>
          <w:rFonts w:hint="eastAsia" w:ascii="仿宋_GB2312" w:hAnsi="仿宋_GB2312" w:eastAsia="仿宋_GB2312" w:cs="仿宋_GB2312"/>
          <w:b w:val="0"/>
          <w:bCs/>
          <w:i w:val="0"/>
          <w:caps w:val="0"/>
          <w:color w:val="auto"/>
          <w:spacing w:val="0"/>
          <w:kern w:val="0"/>
          <w:sz w:val="32"/>
          <w:szCs w:val="32"/>
          <w:highlight w:val="none"/>
          <w:lang w:val="en-US" w:eastAsia="zh-CN" w:bidi="ar-SA"/>
        </w:rPr>
        <w:drawing>
          <wp:anchor distT="0" distB="0" distL="114300" distR="114300" simplePos="0" relativeHeight="251659264" behindDoc="0" locked="0" layoutInCell="1" allowOverlap="1">
            <wp:simplePos x="0" y="0"/>
            <wp:positionH relativeFrom="page">
              <wp:posOffset>1238250</wp:posOffset>
            </wp:positionH>
            <wp:positionV relativeFrom="page">
              <wp:posOffset>1519555</wp:posOffset>
            </wp:positionV>
            <wp:extent cx="4907280" cy="2747645"/>
            <wp:effectExtent l="0" t="0" r="7620" b="14605"/>
            <wp:wrapTopAndBottom/>
            <wp:docPr id="1"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6"/>
                    <pic:cNvPicPr>
                      <a:picLocks noChangeAspect="1"/>
                    </pic:cNvPicPr>
                  </pic:nvPicPr>
                  <pic:blipFill>
                    <a:blip r:embed="rId9">
                      <a:lum/>
                    </a:blip>
                    <a:srcRect t="4224" r="-235" b="3023"/>
                    <a:stretch>
                      <a:fillRect/>
                    </a:stretch>
                  </pic:blipFill>
                  <pic:spPr>
                    <a:xfrm>
                      <a:off x="0" y="0"/>
                      <a:ext cx="4907280" cy="2747645"/>
                    </a:xfrm>
                    <a:prstGeom prst="rect">
                      <a:avLst/>
                    </a:prstGeom>
                    <a:noFill/>
                    <a:ln>
                      <a:noFill/>
                    </a:ln>
                  </pic:spPr>
                </pic:pic>
              </a:graphicData>
            </a:graphic>
          </wp:anchor>
        </w:drawing>
      </w:r>
    </w:p>
    <w:p>
      <w:pPr>
        <w:wordWrap/>
        <w:adjustRightInd/>
        <w:snapToGrid/>
        <w:spacing w:line="560" w:lineRule="exact"/>
        <w:ind w:firstLine="630"/>
        <w:textAlignment w:val="auto"/>
        <w:outlineLvl w:val="9"/>
        <w:rPr>
          <w:rFonts w:hint="eastAsia" w:ascii="楷体_GB2312" w:hAnsi="楷体_GB2312" w:eastAsia="楷体_GB2312" w:cs="楷体_GB2312"/>
          <w:sz w:val="32"/>
          <w:szCs w:val="32"/>
          <w:highlight w:val="none"/>
          <w:shd w:val="clear" w:color="auto" w:fill="FFFFFF"/>
          <w:lang w:eastAsia="zh-CN"/>
        </w:rPr>
      </w:pPr>
      <w:r>
        <w:rPr>
          <w:rFonts w:hint="eastAsia" w:ascii="楷体_GB2312" w:hAnsi="楷体_GB2312" w:eastAsia="楷体_GB2312" w:cs="楷体_GB2312"/>
          <w:sz w:val="32"/>
          <w:szCs w:val="32"/>
          <w:highlight w:val="none"/>
          <w:shd w:val="clear" w:color="auto" w:fill="FFFFFF"/>
          <w:lang w:eastAsia="zh-CN"/>
        </w:rPr>
        <w:t>（八）办理方式。</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根据《中国人民银行行政许可实施办法》（中国人民银行令〔2020〕第1号发布）第四十二条规定，银行账户开户许可证核发可适用简易程序。有关程序如下：</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1.提交申请：申请人到开户银行机构现场填写开户申请书，并按照本指南的要求提交相关的开户材料。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2.申请受理：开户银行机构将相关资料收集完整，对申请人提交书面资料的真实性、完整性和合规性进行审查，审查合格后通过人民币银行结算账户管理系统录入相关开户信息。</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申请材料不齐全、不符合法定形式或者存在错误不能当场更正的，</w:t>
      </w:r>
      <w:r>
        <w:rPr>
          <w:rFonts w:hint="eastAsia" w:ascii="仿宋_GB2312" w:eastAsia="仿宋_GB2312"/>
          <w:color w:val="000000"/>
          <w:sz w:val="32"/>
          <w:szCs w:val="32"/>
          <w:highlight w:val="none"/>
          <w:lang w:eastAsia="zh-CN"/>
        </w:rPr>
        <w:t>人民银行</w:t>
      </w:r>
      <w:r>
        <w:rPr>
          <w:rFonts w:hint="eastAsia" w:ascii="仿宋_GB2312" w:eastAsia="仿宋_GB2312"/>
          <w:color w:val="000000"/>
          <w:sz w:val="32"/>
          <w:szCs w:val="32"/>
          <w:highlight w:val="none"/>
        </w:rPr>
        <w:t>应当当场或者在收到申请材料之日起2个工作日内一次告知申请人需要补正的全部内容，出具加盖本行账户管理专用章并载明日期的补正告知书。申请人拒不补正，或者自补正告知书送达之日起十日内无正当理由未补正的，退回已经收到的全部申请材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申请人提出的行政许可申请存在下列情形之一的，人民银行可以不予受理，并经部门负责人批准，出具加盖本行账户管理专用章的不予受理决定书，说明不予受理的理由和依据，退回已经收到的全部申请材料：</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（一）申请事项不属于中国人民银行职权范围的；</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（二）申请人提供的补正材料不齐全、不符合法定形式的；</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（三）申请人补正后仍存在不符合受理条件的其他情形的。</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人民银行依据前款第一项不予受理的，应当即时作出不予受理的决定，并告知申请人向有关行政机关申请。</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3.交接：开户银行机构专人将开户材料报送人民银行，按照要求登记《单位银行结算账户资料交接清单》；人民银行受理后，在《单位银行结算账户资料交接清单》上签收。</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4.审查：人民银行对开户银行机构报送的核准类银行结算账户的相关资料复印件的完整性、合规性进行审核；对申请书基本要素、相关资料复印件进行审核，确保申请书填写要素与报送的相关资料复印件一致。</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人民银行在审查过程中发现申请人提交的申请材料存在实质性问题，可能影响作出行政许可决定的，可以出具加盖账户管理专用章的申请材料修改通知书，要求申请人限期对申请材料进一步修改、完善，或者解释说明。申请人在合理期限内拒不修改、完善、解释说明，或者修改、完善、解释说明后仍存在实质性问题的，人民银行应当继续审查，不利后果由申请人承担。</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5.决定：审核合规的，人民银行受理人员在开户申请书签署意见并加盖名章，打印开户许可证，随账户资料一并提交账户管理高级主管。账户管理高级业务主管审核无误，根据本行行长或者分管副行长的授权，在开户许可证上加盖本行行章，并在开户申请书上加盖账户管理专用章，在《单位银行结算账户资料交接清单》签章，退回人民银行受理人员。人民银行受理人员整理账户资料，发放开户许可证，并在《单位银行结算账户资料交接清单》登记开户许可证编号。</w:t>
      </w:r>
    </w:p>
    <w:p>
      <w:pPr>
        <w:wordWrap/>
        <w:adjustRightInd/>
        <w:snapToGrid/>
        <w:spacing w:line="560" w:lineRule="exact"/>
        <w:ind w:firstLine="630"/>
        <w:textAlignment w:val="auto"/>
        <w:outlineLvl w:val="9"/>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审核不合规的，人民银行受理人员在开户申请书签署意见、填写核准未通过的理由并加盖名章，打印不予行政许可决定书，随账户资料一并提交账户管理高级主管；账户管理高级业务主管审核无误，根据本行行长或者分管副行长的授权，加盖本行行章，并在开户申请书上加盖账户管理专用章，在《单位银行结算账户资料交接清单》签章，退回人民银行受理人员。人民银行受理人员整理账户资料，发放不予行政许可决定书，退回已经收到的全部申请材料，并在《单位银行结算账户资料交接清单》登记不予行政许可决定书编号。</w:t>
      </w:r>
    </w:p>
    <w:p>
      <w:pPr>
        <w:wordWrap/>
        <w:adjustRightInd/>
        <w:snapToGrid/>
        <w:spacing w:line="560" w:lineRule="exact"/>
        <w:ind w:firstLine="630"/>
        <w:textAlignment w:val="auto"/>
        <w:outlineLvl w:val="9"/>
        <w:rPr>
          <w:rFonts w:hint="eastAsia" w:ascii="仿宋_GB2312" w:hAnsi="仿宋_GB2312" w:eastAsia="仿宋_GB2312" w:cs="仿宋_GB2312"/>
          <w:b w:val="0"/>
          <w:bCs w:val="0"/>
          <w:color w:val="000000"/>
          <w:sz w:val="32"/>
          <w:szCs w:val="32"/>
          <w:highlight w:val="none"/>
          <w:shd w:val="clear" w:color="auto" w:fill="FFFFFF"/>
        </w:rPr>
      </w:pPr>
      <w:r>
        <w:rPr>
          <w:rFonts w:hint="eastAsia" w:ascii="仿宋_GB2312" w:eastAsia="仿宋_GB2312"/>
          <w:color w:val="000000"/>
          <w:sz w:val="32"/>
          <w:szCs w:val="32"/>
          <w:highlight w:val="none"/>
        </w:rPr>
        <w:t>6.结果送达：人民银行一般采取由开户银行机构代为送达的方式，补正告知书、不予受理决定书、开户许可证、不予行政许可决定书送交开户银行，视为送达。申请人明确提出通过邮寄、自行领取等方式送达的除外。</w:t>
      </w:r>
    </w:p>
    <w:p>
      <w:p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、办理时限</w:t>
      </w:r>
    </w:p>
    <w:p>
      <w:pPr>
        <w:wordWrap/>
        <w:adjustRightInd/>
        <w:snapToGrid/>
        <w:spacing w:line="560" w:lineRule="exact"/>
        <w:ind w:firstLine="630"/>
        <w:textAlignment w:val="auto"/>
        <w:outlineLvl w:val="9"/>
        <w:rPr>
          <w:rFonts w:hint="eastAsia" w:ascii="仿宋_GB2312" w:hAnsi="仿宋_GB2312" w:eastAsia="仿宋_GB2312" w:cs="仿宋_GB2312"/>
          <w:b w:val="0"/>
          <w:bCs w:val="0"/>
          <w:color w:val="000000"/>
          <w:sz w:val="32"/>
          <w:szCs w:val="32"/>
          <w:highlight w:val="none"/>
          <w:shd w:val="clear" w:color="auto" w:fill="FFFFFF"/>
          <w:lang w:eastAsia="zh-CN"/>
        </w:rPr>
      </w:pPr>
      <w:r>
        <w:rPr>
          <w:rFonts w:hint="eastAsia" w:ascii="仿宋_GB2312" w:hAnsi="仿宋_GB2312" w:eastAsia="仿宋_GB2312" w:cs="仿宋_GB2312"/>
          <w:sz w:val="32"/>
          <w:szCs w:val="32"/>
          <w:highlight w:val="none"/>
          <w:shd w:val="clear" w:color="auto" w:fill="FFFFFF"/>
          <w:lang w:val="en-US" w:eastAsia="zh-CN"/>
        </w:rPr>
        <w:t>根据《人民币银行结算账户管理办法》第二十九条</w:t>
      </w:r>
      <w:r>
        <w:rPr>
          <w:rFonts w:hint="eastAsia" w:ascii="仿宋_GB2312" w:hAnsi="仿宋_GB2312" w:eastAsia="仿宋_GB2312" w:cs="仿宋_GB2312"/>
          <w:b w:val="0"/>
          <w:bCs w:val="0"/>
          <w:color w:val="000000"/>
          <w:sz w:val="32"/>
          <w:szCs w:val="32"/>
          <w:highlight w:val="none"/>
          <w:shd w:val="clear" w:color="auto" w:fill="FFFFFF"/>
          <w:lang w:eastAsia="zh-CN"/>
        </w:rPr>
        <w:t>，</w:t>
      </w:r>
      <w:r>
        <w:rPr>
          <w:rFonts w:hint="eastAsia" w:ascii="仿宋_GB2312" w:eastAsia="仿宋_GB2312"/>
          <w:color w:val="000000"/>
          <w:sz w:val="32"/>
          <w:szCs w:val="32"/>
          <w:highlight w:val="none"/>
        </w:rPr>
        <w:t>人民银行受理、审查基本存款账户、临时存款账户和预算单位专用存款账户的开户申请后，认为开户申请材料齐全，符合法定条件、标准的，应当在2个工作日内予以核准；不符合法定条件、标准的，在开户申请书上签署不予核准开户的意见，并说明理由。</w:t>
      </w:r>
    </w:p>
    <w:p>
      <w:p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八、收费标准</w:t>
      </w:r>
    </w:p>
    <w:p>
      <w:pPr>
        <w:widowControl w:val="0"/>
        <w:shd w:val="solid" w:color="FFFFFF" w:fill="auto"/>
        <w:wordWrap/>
        <w:autoSpaceDN w:val="0"/>
        <w:adjustRightInd/>
        <w:snapToGrid/>
        <w:spacing w:line="560" w:lineRule="exact"/>
        <w:ind w:right="0" w:firstLine="645"/>
        <w:textAlignment w:val="auto"/>
        <w:outlineLvl w:val="9"/>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b w:val="0"/>
          <w:bCs w:val="0"/>
          <w:color w:val="000000"/>
          <w:sz w:val="32"/>
          <w:szCs w:val="32"/>
          <w:highlight w:val="none"/>
          <w:shd w:val="clear" w:color="auto" w:fill="FFFFFF"/>
          <w:lang w:eastAsia="zh-CN"/>
        </w:rPr>
        <w:t>不收费</w:t>
      </w:r>
    </w:p>
    <w:p>
      <w:pPr>
        <w:numPr>
          <w:ilvl w:val="0"/>
          <w:numId w:val="0"/>
        </w:numPr>
        <w:wordWrap/>
        <w:adjustRightInd/>
        <w:snapToGrid/>
        <w:spacing w:line="560" w:lineRule="exact"/>
        <w:jc w:val="both"/>
        <w:textAlignment w:val="auto"/>
        <w:outlineLvl w:val="9"/>
        <w:rPr>
          <w:rFonts w:hint="eastAsia" w:ascii="黑体" w:hAnsi="黑体" w:eastAsia="黑体" w:cs="黑体"/>
          <w:sz w:val="32"/>
          <w:szCs w:val="32"/>
          <w:highlight w:val="none"/>
        </w:rPr>
      </w:pPr>
      <w:r>
        <w:rPr>
          <w:rFonts w:hint="eastAsia" w:ascii="黑体" w:hAnsi="黑体" w:eastAsia="黑体" w:cs="黑体"/>
          <w:sz w:val="32"/>
          <w:szCs w:val="32"/>
          <w:highlight w:val="none"/>
          <w:lang w:val="en-US" w:eastAsia="zh-CN"/>
        </w:rPr>
        <w:t xml:space="preserve">    九、</w:t>
      </w:r>
      <w:r>
        <w:rPr>
          <w:rFonts w:hint="eastAsia" w:ascii="黑体" w:hAnsi="黑体" w:eastAsia="黑体" w:cs="黑体"/>
          <w:sz w:val="32"/>
          <w:szCs w:val="32"/>
          <w:highlight w:val="none"/>
        </w:rPr>
        <w:t>咨询</w:t>
      </w:r>
      <w:r>
        <w:rPr>
          <w:rFonts w:hint="eastAsia" w:ascii="黑体" w:hAnsi="黑体" w:eastAsia="黑体" w:cs="黑体"/>
          <w:sz w:val="32"/>
          <w:szCs w:val="32"/>
          <w:highlight w:val="none"/>
          <w:lang w:eastAsia="zh-CN"/>
        </w:rPr>
        <w:t>方式</w:t>
      </w:r>
    </w:p>
    <w:p>
      <w:pPr>
        <w:wordWrap/>
        <w:adjustRightInd/>
        <w:snapToGrid/>
        <w:spacing w:line="560" w:lineRule="exact"/>
        <w:ind w:firstLine="640" w:firstLineChars="200"/>
        <w:textAlignment w:val="auto"/>
        <w:outlineLvl w:val="9"/>
        <w:rPr>
          <w:rFonts w:hint="eastAsia" w:ascii="仿宋_GB2312" w:eastAsia="仿宋_GB2312"/>
          <w:color w:val="000000"/>
          <w:sz w:val="32"/>
          <w:szCs w:val="32"/>
          <w:highlight w:val="none"/>
        </w:rPr>
      </w:pPr>
      <w:r>
        <w:rPr>
          <w:rFonts w:hint="eastAsia" w:ascii="仿宋_GB2312" w:hAnsi="仿宋_GB2312" w:eastAsia="仿宋_GB2312" w:cs="仿宋_GB2312"/>
          <w:color w:val="000000"/>
          <w:sz w:val="32"/>
          <w:szCs w:val="32"/>
          <w:highlight w:val="none"/>
        </w:rPr>
        <w:t>0532-</w:t>
      </w:r>
      <w:r>
        <w:rPr>
          <w:rFonts w:hint="eastAsia" w:ascii="仿宋_GB2312" w:eastAsia="仿宋_GB2312"/>
          <w:color w:val="000000"/>
          <w:sz w:val="32"/>
          <w:szCs w:val="32"/>
          <w:highlight w:val="none"/>
          <w:lang w:val="en-US" w:eastAsia="zh-CN"/>
        </w:rPr>
        <w:t>80896716</w:t>
      </w:r>
    </w:p>
    <w:p>
      <w:pPr>
        <w:pStyle w:val="2"/>
        <w:wordWrap/>
        <w:adjustRightInd/>
        <w:snapToGrid/>
        <w:spacing w:line="560" w:lineRule="exact"/>
        <w:textAlignment w:val="auto"/>
        <w:rPr>
          <w:rFonts w:hint="eastAsia"/>
          <w:lang w:eastAsia="zh-CN"/>
        </w:rPr>
      </w:pPr>
      <w:r>
        <w:rPr>
          <w:rFonts w:hint="eastAsia" w:ascii="仿宋_GB2312" w:eastAsia="仿宋_GB2312"/>
          <w:color w:val="000000"/>
          <w:szCs w:val="30"/>
        </w:rPr>
        <w:br w:type="page"/>
      </w:r>
      <w:bookmarkStart w:id="1" w:name="_Toc1789"/>
      <w:r>
        <w:rPr>
          <w:rFonts w:hint="eastAsia"/>
          <w:lang w:eastAsia="zh-CN"/>
        </w:rPr>
        <w:t>商业银行、信用社</w:t>
      </w:r>
      <w:bookmarkEnd w:id="1"/>
    </w:p>
    <w:p>
      <w:pPr>
        <w:pStyle w:val="2"/>
        <w:wordWrap/>
        <w:adjustRightInd/>
        <w:snapToGrid/>
        <w:spacing w:line="560" w:lineRule="exact"/>
        <w:textAlignment w:val="auto"/>
        <w:rPr>
          <w:rFonts w:hint="eastAsia"/>
          <w:lang w:eastAsia="zh-CN"/>
        </w:rPr>
      </w:pPr>
      <w:bookmarkStart w:id="2" w:name="_Toc31867"/>
      <w:bookmarkStart w:id="3" w:name="_Toc14214"/>
      <w:bookmarkStart w:id="4" w:name="_Toc31896"/>
      <w:r>
        <w:rPr>
          <w:rFonts w:hint="eastAsia"/>
          <w:lang w:eastAsia="zh-CN"/>
        </w:rPr>
        <w:t>代理支库业务审批办事指南</w:t>
      </w:r>
      <w:bookmarkEnd w:id="2"/>
      <w:bookmarkEnd w:id="3"/>
      <w:bookmarkEnd w:id="4"/>
    </w:p>
    <w:p>
      <w:pPr>
        <w:widowControl w:val="0"/>
        <w:wordWrap/>
        <w:adjustRightInd/>
        <w:snapToGrid/>
        <w:spacing w:line="560" w:lineRule="exact"/>
        <w:ind w:left="0" w:leftChars="0" w:right="0"/>
        <w:textAlignment w:val="auto"/>
        <w:outlineLvl w:val="9"/>
        <w:rPr>
          <w:rFonts w:hint="eastAsia"/>
          <w:color w:val="000000"/>
          <w:lang w:val="en-US" w:eastAsia="zh-CN"/>
        </w:rPr>
      </w:pPr>
      <w:r>
        <w:rPr>
          <w:rFonts w:hint="eastAsia"/>
          <w:color w:val="000000"/>
        </w:rPr>
        <w:t xml:space="preserve">  </w:t>
      </w:r>
      <w:r>
        <w:rPr>
          <w:rFonts w:hint="eastAsia"/>
          <w:color w:val="000000"/>
          <w:lang w:val="en-US" w:eastAsia="zh-CN"/>
        </w:rPr>
        <w:t xml:space="preserve">    </w:t>
      </w:r>
    </w:p>
    <w:p>
      <w:pPr>
        <w:widowControl w:val="0"/>
        <w:wordWrap/>
        <w:adjustRightInd/>
        <w:snapToGrid/>
        <w:spacing w:line="560" w:lineRule="exact"/>
        <w:ind w:left="0" w:leftChars="0" w:right="0" w:firstLine="420" w:firstLineChars="200"/>
        <w:jc w:val="both"/>
        <w:textAlignment w:val="auto"/>
        <w:outlineLvl w:val="9"/>
        <w:rPr>
          <w:rFonts w:hint="eastAsia" w:ascii="黑体" w:hAnsi="华文中宋" w:eastAsia="黑体"/>
          <w:sz w:val="32"/>
          <w:szCs w:val="32"/>
        </w:rPr>
      </w:pPr>
      <w:r>
        <w:rPr>
          <w:rFonts w:hint="eastAsia"/>
          <w:color w:val="000000"/>
          <w:lang w:val="en-US" w:eastAsia="zh-CN"/>
        </w:rPr>
        <w:t xml:space="preserve">  </w:t>
      </w:r>
      <w:r>
        <w:rPr>
          <w:rFonts w:hint="eastAsia" w:ascii="黑体" w:hAnsi="黑体" w:eastAsia="黑体" w:cs="黑体"/>
          <w:color w:val="000000"/>
          <w:sz w:val="32"/>
          <w:szCs w:val="32"/>
        </w:rPr>
        <w:t>一、</w:t>
      </w:r>
      <w:r>
        <w:rPr>
          <w:rFonts w:hint="eastAsia" w:ascii="黑体" w:hAnsi="华文中宋" w:eastAsia="黑体"/>
          <w:sz w:val="32"/>
          <w:szCs w:val="32"/>
        </w:rPr>
        <w:t>事项名称</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华文中宋" w:eastAsia="仿宋_GB2312" w:cs="Times New Roman"/>
          <w:color w:val="auto"/>
          <w:sz w:val="32"/>
          <w:szCs w:val="32"/>
        </w:rPr>
      </w:pPr>
      <w:r>
        <w:rPr>
          <w:rFonts w:hint="eastAsia" w:ascii="仿宋_GB2312" w:hAnsi="华文中宋" w:eastAsia="仿宋_GB2312" w:cs="Times New Roman"/>
          <w:color w:val="auto"/>
          <w:sz w:val="32"/>
          <w:szCs w:val="32"/>
        </w:rPr>
        <w:t>商业银行、信用社代理支库业务审批</w:t>
      </w:r>
    </w:p>
    <w:p>
      <w:pPr>
        <w:widowControl w:val="0"/>
        <w:wordWrap/>
        <w:adjustRightInd/>
        <w:snapToGrid/>
        <w:spacing w:line="560" w:lineRule="exact"/>
        <w:ind w:left="0" w:leftChars="0" w:right="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二、事项类别</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华文中宋" w:eastAsia="仿宋_GB2312"/>
          <w:sz w:val="32"/>
          <w:szCs w:val="32"/>
        </w:rPr>
      </w:pPr>
      <w:r>
        <w:rPr>
          <w:rFonts w:hint="eastAsia" w:ascii="仿宋_GB2312" w:hAnsi="华文中宋" w:eastAsia="仿宋_GB2312"/>
          <w:sz w:val="32"/>
          <w:szCs w:val="32"/>
          <w:lang w:eastAsia="zh-CN"/>
        </w:rPr>
        <w:t>行政许可</w:t>
      </w:r>
      <w:r>
        <w:rPr>
          <w:rFonts w:hint="eastAsia" w:ascii="仿宋_GB2312" w:hAnsi="华文中宋" w:eastAsia="仿宋_GB2312"/>
          <w:sz w:val="32"/>
          <w:szCs w:val="32"/>
        </w:rPr>
        <w:t>事项</w:t>
      </w:r>
    </w:p>
    <w:p>
      <w:pPr>
        <w:widowControl w:val="0"/>
        <w:wordWrap/>
        <w:adjustRightInd/>
        <w:snapToGrid/>
        <w:spacing w:line="560" w:lineRule="exact"/>
        <w:ind w:left="0" w:leftChars="0" w:right="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三、办理依据</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u w:val="none" w:color="auto"/>
          <w:lang w:eastAsia="zh-CN"/>
        </w:rPr>
      </w:pPr>
      <w:r>
        <w:rPr>
          <w:rFonts w:hint="eastAsia" w:ascii="仿宋_GB2312" w:hAnsi="仿宋_GB2312" w:eastAsia="仿宋_GB2312" w:cs="仿宋_GB2312"/>
          <w:sz w:val="32"/>
          <w:szCs w:val="32"/>
          <w:highlight w:val="none"/>
          <w:shd w:val="clear" w:color="auto" w:fill="FFFFFF"/>
          <w:lang w:val="zh-CN" w:eastAsia="zh-CN"/>
        </w:rPr>
        <w:t>《国务院</w:t>
      </w:r>
      <w:r>
        <w:rPr>
          <w:rFonts w:hint="eastAsia" w:ascii="仿宋_GB2312" w:hAnsi="仿宋_GB2312" w:eastAsia="仿宋_GB2312" w:cs="仿宋_GB2312"/>
          <w:sz w:val="32"/>
          <w:szCs w:val="32"/>
          <w:highlight w:val="none"/>
          <w:shd w:val="clear" w:color="auto" w:fill="FFFFFF"/>
          <w:lang w:val="en-US" w:eastAsia="zh-CN"/>
        </w:rPr>
        <w:t>对确需保留的行政审批项目设定行政许可的决定</w:t>
      </w:r>
      <w:r>
        <w:rPr>
          <w:rFonts w:hint="eastAsia" w:ascii="仿宋_GB2312" w:hAnsi="仿宋_GB2312" w:eastAsia="仿宋_GB2312" w:cs="仿宋_GB2312"/>
          <w:sz w:val="32"/>
          <w:szCs w:val="32"/>
          <w:highlight w:val="none"/>
          <w:shd w:val="clear" w:color="auto" w:fill="FFFFFF"/>
          <w:lang w:val="zh-CN" w:eastAsia="zh-CN"/>
        </w:rPr>
        <w:t>》（中华人民共和国国务院令第</w:t>
      </w:r>
      <w:r>
        <w:rPr>
          <w:rFonts w:hint="eastAsia" w:ascii="仿宋_GB2312" w:hAnsi="仿宋_GB2312" w:eastAsia="仿宋_GB2312" w:cs="仿宋_GB2312"/>
          <w:sz w:val="32"/>
          <w:szCs w:val="32"/>
          <w:highlight w:val="none"/>
          <w:shd w:val="clear" w:color="auto" w:fill="FFFFFF"/>
          <w:lang w:val="en-US" w:eastAsia="zh-CN"/>
        </w:rPr>
        <w:t>412号发布)、</w:t>
      </w:r>
      <w:r>
        <w:rPr>
          <w:rFonts w:hint="eastAsia" w:ascii="仿宋_GB2312" w:hAnsi="仿宋_GB2312" w:eastAsia="仿宋_GB2312" w:cs="仿宋_GB2312"/>
          <w:color w:val="000000"/>
          <w:sz w:val="32"/>
          <w:szCs w:val="32"/>
          <w:lang w:eastAsia="zh-CN"/>
        </w:rPr>
        <w:t>《商业银行、信用社代理支库业务审批工作规程（暂行）》（银发〔2005〕89号）。</w:t>
      </w:r>
    </w:p>
    <w:p>
      <w:pPr>
        <w:widowControl w:val="0"/>
        <w:wordWrap/>
        <w:adjustRightInd/>
        <w:snapToGrid/>
        <w:spacing w:line="560" w:lineRule="exact"/>
        <w:ind w:left="0" w:leftChars="0" w:right="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lang w:eastAsia="zh-CN"/>
        </w:rPr>
        <w:t>四、</w:t>
      </w:r>
      <w:r>
        <w:rPr>
          <w:rFonts w:hint="eastAsia" w:ascii="黑体" w:hAnsi="华文中宋" w:eastAsia="黑体"/>
          <w:sz w:val="32"/>
          <w:szCs w:val="32"/>
        </w:rPr>
        <w:t>受理部门</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仿宋_GB2312" w:hAnsi="仿宋_GB2312" w:eastAsia="仿宋_GB2312" w:cs="仿宋_GB2312"/>
          <w:color w:val="000000"/>
          <w:sz w:val="32"/>
          <w:szCs w:val="32"/>
        </w:rPr>
        <w:t>中国人民银行</w:t>
      </w:r>
      <w:r>
        <w:rPr>
          <w:rFonts w:hint="eastAsia" w:ascii="仿宋_GB2312" w:hAnsi="仿宋_GB2312" w:eastAsia="仿宋_GB2312" w:cs="仿宋_GB2312"/>
          <w:color w:val="000000"/>
          <w:sz w:val="32"/>
          <w:szCs w:val="32"/>
          <w:u w:val="none" w:color="auto"/>
          <w:lang w:eastAsia="zh-CN"/>
        </w:rPr>
        <w:t>青岛市分行国库处</w:t>
      </w:r>
    </w:p>
    <w:p>
      <w:pPr>
        <w:widowControl w:val="0"/>
        <w:numPr>
          <w:ilvl w:val="0"/>
          <w:numId w:val="0"/>
        </w:numPr>
        <w:wordWrap/>
        <w:adjustRightInd/>
        <w:snapToGrid/>
        <w:spacing w:line="560" w:lineRule="exact"/>
        <w:ind w:right="0"/>
        <w:jc w:val="both"/>
        <w:textAlignment w:val="auto"/>
        <w:outlineLvl w:val="9"/>
        <w:rPr>
          <w:rFonts w:hint="eastAsia" w:ascii="黑体" w:hAnsi="华文中宋" w:eastAsia="黑体"/>
          <w:sz w:val="32"/>
          <w:szCs w:val="32"/>
          <w:lang w:val="en-US" w:eastAsia="zh-CN"/>
        </w:rPr>
      </w:pPr>
      <w:r>
        <w:rPr>
          <w:rFonts w:hint="eastAsia" w:ascii="黑体" w:hAnsi="黑体" w:eastAsia="黑体" w:cs="黑体"/>
          <w:sz w:val="32"/>
          <w:szCs w:val="32"/>
          <w:lang w:val="en-US" w:eastAsia="zh-CN"/>
        </w:rPr>
        <w:t xml:space="preserve">    五、</w:t>
      </w:r>
      <w:r>
        <w:rPr>
          <w:rFonts w:hint="eastAsia" w:ascii="黑体" w:hAnsi="华文中宋" w:eastAsia="黑体"/>
          <w:sz w:val="32"/>
          <w:szCs w:val="32"/>
          <w:lang w:val="en-US" w:eastAsia="zh-CN"/>
        </w:rPr>
        <w:t>受理层级</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lang w:val="en-US" w:eastAsia="zh-CN"/>
        </w:rPr>
        <w:t>青岛市本级、青岛市下辖各区、市</w:t>
      </w:r>
    </w:p>
    <w:p>
      <w:pPr>
        <w:widowControl w:val="0"/>
        <w:wordWrap/>
        <w:adjustRightInd/>
        <w:snapToGrid/>
        <w:spacing w:line="560" w:lineRule="exact"/>
        <w:ind w:left="0" w:leftChars="0" w:right="0" w:firstLine="640" w:firstLineChars="200"/>
        <w:jc w:val="both"/>
        <w:textAlignment w:val="auto"/>
        <w:outlineLvl w:val="9"/>
        <w:rPr>
          <w:rFonts w:hint="eastAsia"/>
          <w:color w:val="000000"/>
          <w:sz w:val="32"/>
          <w:szCs w:val="32"/>
          <w:lang w:val="en-US" w:eastAsia="zh-CN"/>
        </w:rPr>
      </w:pPr>
      <w:r>
        <w:rPr>
          <w:rFonts w:hint="eastAsia" w:ascii="黑体" w:hAnsi="黑体" w:eastAsia="黑体" w:cs="黑体"/>
          <w:sz w:val="32"/>
          <w:szCs w:val="32"/>
          <w:lang w:eastAsia="zh-CN"/>
        </w:rPr>
        <w:t>六、办理</w:t>
      </w:r>
      <w:r>
        <w:rPr>
          <w:rFonts w:hint="eastAsia" w:ascii="黑体" w:hAnsi="黑体" w:eastAsia="黑体" w:cs="黑体"/>
          <w:sz w:val="32"/>
          <w:szCs w:val="32"/>
        </w:rPr>
        <w:t>流程</w:t>
      </w:r>
    </w:p>
    <w:p>
      <w:pPr>
        <w:widowControl w:val="0"/>
        <w:wordWrap/>
        <w:adjustRightInd/>
        <w:snapToGrid/>
        <w:spacing w:line="560" w:lineRule="exact"/>
        <w:ind w:left="0" w:leftChars="0" w:right="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1.申请人提交申请至中国人民银行青岛市分行国库处；</w:t>
      </w:r>
    </w:p>
    <w:p>
      <w:pPr>
        <w:widowControl w:val="0"/>
        <w:wordWrap/>
        <w:adjustRightInd/>
        <w:snapToGrid/>
        <w:spacing w:line="560" w:lineRule="exact"/>
        <w:ind w:left="0" w:leftChars="0" w:right="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2.中国人民银行青岛市分行国库处决定是否予以受理；</w:t>
      </w:r>
    </w:p>
    <w:p>
      <w:pPr>
        <w:widowControl w:val="0"/>
        <w:wordWrap/>
        <w:adjustRightInd/>
        <w:snapToGrid/>
        <w:spacing w:line="560" w:lineRule="exact"/>
        <w:ind w:left="0" w:leftChars="0" w:right="0" w:firstLine="640" w:firstLineChars="200"/>
        <w:jc w:val="both"/>
        <w:textAlignment w:val="auto"/>
        <w:outlineLvl w:val="9"/>
        <w:rPr>
          <w:rFonts w:hint="eastAsia" w:ascii="仿宋_GB2312" w:eastAsia="仿宋_GB2312"/>
          <w:color w:val="000000"/>
          <w:sz w:val="32"/>
          <w:szCs w:val="32"/>
          <w:lang w:eastAsia="zh-CN"/>
        </w:rPr>
      </w:pPr>
      <w:r>
        <w:rPr>
          <w:rFonts w:hint="eastAsia" w:ascii="仿宋_GB2312" w:eastAsia="仿宋_GB2312"/>
          <w:color w:val="000000"/>
          <w:sz w:val="32"/>
          <w:szCs w:val="32"/>
          <w:lang w:eastAsia="zh-CN"/>
        </w:rPr>
        <w:t>3.不予受理的，出具不予受理通知书；予以受理的，出具受理通知书，并在规定的时限内做出不予或准予行政许可决定。</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、办结时限</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青岛市分行自受理申请材料之日起15日内作出不予或准予行政许可决定。在规定期限内不能作出审批决定的，经本分行行长或者主管副行长批准，可以延长10个工作日，同时将延长期限理由告知申请人。</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、收费标准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不收费</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、咨询</w:t>
      </w:r>
      <w:r>
        <w:rPr>
          <w:rFonts w:hint="eastAsia" w:ascii="黑体" w:hAnsi="黑体" w:eastAsia="黑体" w:cs="黑体"/>
          <w:color w:val="000000"/>
          <w:sz w:val="32"/>
          <w:szCs w:val="32"/>
          <w:lang w:eastAsia="zh-CN"/>
        </w:rPr>
        <w:t>渠道</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0532-80896705</w:t>
      </w:r>
    </w:p>
    <w:p>
      <w:pPr>
        <w:widowControl w:val="0"/>
        <w:wordWrap/>
        <w:adjustRightInd/>
        <w:snapToGrid/>
        <w:spacing w:line="560" w:lineRule="exact"/>
        <w:ind w:right="0"/>
        <w:jc w:val="center"/>
        <w:textAlignment w:val="auto"/>
        <w:outlineLvl w:val="0"/>
        <w:rPr>
          <w:rStyle w:val="19"/>
          <w:rFonts w:hint="eastAsia"/>
          <w:lang w:eastAsia="zh-CN"/>
        </w:rPr>
      </w:pPr>
      <w:r>
        <w:rPr>
          <w:rFonts w:hint="eastAsia" w:ascii="仿宋_GB2312" w:eastAsia="仿宋_GB2312"/>
          <w:color w:val="000000"/>
          <w:sz w:val="30"/>
          <w:szCs w:val="30"/>
        </w:rPr>
        <w:br w:type="page"/>
      </w:r>
      <w:bookmarkStart w:id="5" w:name="_Toc21350"/>
      <w:r>
        <w:rPr>
          <w:rStyle w:val="19"/>
          <w:rFonts w:hint="eastAsia"/>
          <w:lang w:eastAsia="zh-CN"/>
        </w:rPr>
        <w:t>国库集中收付代理银行资格认定</w:t>
      </w:r>
      <w:bookmarkEnd w:id="5"/>
      <w:r>
        <w:rPr>
          <w:rStyle w:val="19"/>
          <w:rFonts w:hint="eastAsia"/>
          <w:lang w:eastAsia="zh-CN"/>
        </w:rPr>
        <w:t>办事指南</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p>
    <w:p>
      <w:pPr>
        <w:widowControl w:val="0"/>
        <w:wordWrap/>
        <w:adjustRightInd/>
        <w:snapToGrid/>
        <w:spacing w:line="560" w:lineRule="exact"/>
        <w:ind w:left="0" w:leftChars="0" w:right="0" w:firstLine="640" w:firstLineChars="200"/>
        <w:jc w:val="both"/>
        <w:textAlignment w:val="auto"/>
        <w:outlineLvl w:val="9"/>
        <w:rPr>
          <w:rFonts w:hint="eastAsia" w:ascii="黑体" w:hAnsi="华文中宋" w:eastAsia="黑体"/>
          <w:sz w:val="32"/>
          <w:szCs w:val="32"/>
        </w:rPr>
      </w:pPr>
      <w:r>
        <w:rPr>
          <w:rFonts w:hint="eastAsia" w:ascii="黑体" w:hAnsi="黑体" w:eastAsia="黑体" w:cs="黑体"/>
          <w:color w:val="000000"/>
          <w:sz w:val="32"/>
          <w:szCs w:val="32"/>
        </w:rPr>
        <w:t>一、</w:t>
      </w:r>
      <w:r>
        <w:rPr>
          <w:rFonts w:hint="eastAsia" w:ascii="黑体" w:hAnsi="华文中宋" w:eastAsia="黑体"/>
          <w:sz w:val="32"/>
          <w:szCs w:val="32"/>
        </w:rPr>
        <w:t>事项名称</w:t>
      </w:r>
    </w:p>
    <w:p>
      <w:pPr>
        <w:wordWrap/>
        <w:adjustRightInd/>
        <w:snapToGrid/>
        <w:spacing w:line="560" w:lineRule="exact"/>
        <w:ind w:left="0" w:leftChars="0" w:firstLine="640" w:firstLineChars="200"/>
        <w:jc w:val="both"/>
        <w:textAlignment w:val="auto"/>
        <w:outlineLvl w:val="9"/>
        <w:rPr>
          <w:rFonts w:hint="eastAsia" w:ascii="仿宋_GB2312" w:hAnsi="华文中宋" w:eastAsia="仿宋_GB2312" w:cs="Times New Roman"/>
          <w:color w:val="auto"/>
          <w:sz w:val="32"/>
          <w:szCs w:val="32"/>
        </w:rPr>
      </w:pPr>
      <w:r>
        <w:rPr>
          <w:rFonts w:hint="eastAsia" w:ascii="仿宋_GB2312" w:hAnsi="华文中宋" w:eastAsia="仿宋_GB2312" w:cs="Times New Roman"/>
          <w:color w:val="auto"/>
          <w:sz w:val="32"/>
          <w:szCs w:val="32"/>
          <w:lang w:eastAsia="zh-CN"/>
        </w:rPr>
        <w:t>国库集中收付代理银行资格认定</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二、事项类别</w:t>
      </w:r>
    </w:p>
    <w:p>
      <w:pPr>
        <w:wordWrap/>
        <w:adjustRightInd/>
        <w:snapToGrid/>
        <w:spacing w:line="560" w:lineRule="exact"/>
        <w:ind w:left="0" w:leftChars="0" w:firstLine="640" w:firstLineChars="200"/>
        <w:jc w:val="both"/>
        <w:textAlignment w:val="auto"/>
        <w:outlineLvl w:val="9"/>
        <w:rPr>
          <w:rFonts w:hint="eastAsia" w:ascii="仿宋_GB2312" w:hAnsi="华文中宋" w:eastAsia="仿宋_GB2312"/>
          <w:sz w:val="32"/>
          <w:szCs w:val="32"/>
        </w:rPr>
      </w:pPr>
      <w:r>
        <w:rPr>
          <w:rFonts w:hint="eastAsia" w:ascii="仿宋_GB2312" w:hAnsi="华文中宋" w:eastAsia="仿宋_GB2312"/>
          <w:sz w:val="32"/>
          <w:szCs w:val="32"/>
          <w:lang w:eastAsia="zh-CN"/>
        </w:rPr>
        <w:t>行政许可</w:t>
      </w:r>
      <w:r>
        <w:rPr>
          <w:rFonts w:hint="eastAsia" w:ascii="仿宋_GB2312" w:hAnsi="华文中宋" w:eastAsia="仿宋_GB2312"/>
          <w:sz w:val="32"/>
          <w:szCs w:val="32"/>
        </w:rPr>
        <w:t>事项</w:t>
      </w:r>
    </w:p>
    <w:p>
      <w:pPr>
        <w:wordWrap/>
        <w:adjustRightInd/>
        <w:snapToGrid/>
        <w:spacing w:line="560" w:lineRule="exact"/>
        <w:ind w:left="0" w:leftChars="0" w:firstLine="640" w:firstLineChars="200"/>
        <w:jc w:val="both"/>
        <w:textAlignment w:val="auto"/>
        <w:outlineLvl w:val="9"/>
        <w:rPr>
          <w:rFonts w:hint="eastAsia" w:ascii="黑体" w:hAnsi="华文中宋" w:eastAsia="黑体"/>
          <w:color w:val="auto"/>
          <w:sz w:val="32"/>
          <w:szCs w:val="32"/>
        </w:rPr>
      </w:pPr>
      <w:r>
        <w:rPr>
          <w:rFonts w:hint="eastAsia" w:ascii="黑体" w:hAnsi="华文中宋" w:eastAsia="黑体"/>
          <w:color w:val="auto"/>
          <w:sz w:val="32"/>
          <w:szCs w:val="32"/>
        </w:rPr>
        <w:t>三、办理依据</w:t>
      </w:r>
    </w:p>
    <w:p>
      <w:pPr>
        <w:pStyle w:val="4"/>
        <w:spacing w:line="560" w:lineRule="exact"/>
        <w:ind w:left="0" w:firstLine="640" w:firstLineChars="200"/>
        <w:jc w:val="both"/>
        <w:rPr>
          <w:rFonts w:ascii="黑体" w:hAnsi="黑体" w:eastAsia="黑体" w:cs="黑体"/>
          <w:color w:val="auto"/>
          <w:sz w:val="32"/>
          <w:szCs w:val="32"/>
          <w:lang w:eastAsia="zh-CN"/>
        </w:rPr>
      </w:pPr>
      <w:r>
        <w:rPr>
          <w:rFonts w:hint="eastAsia" w:ascii="仿宋_GB2312" w:hAnsi="仿宋_GB2312" w:eastAsia="仿宋_GB2312" w:cs="仿宋_GB2312"/>
          <w:color w:val="auto"/>
          <w:sz w:val="32"/>
          <w:szCs w:val="32"/>
          <w:lang w:eastAsia="zh-CN"/>
        </w:rPr>
        <w:t>《国务院对确需保留的行政审批项目设定行政许可的决定》（</w:t>
      </w:r>
      <w:r>
        <w:rPr>
          <w:rFonts w:hint="eastAsia" w:ascii="仿宋_GB2312" w:hAnsi="仿宋_GB2312" w:eastAsia="仿宋_GB2312" w:cs="仿宋_GB2312"/>
          <w:color w:val="auto"/>
          <w:sz w:val="32"/>
          <w:szCs w:val="32"/>
          <w:highlight w:val="none"/>
          <w:shd w:val="clear" w:color="auto" w:fill="FFFFFF"/>
          <w:lang w:val="zh-CN" w:eastAsia="zh-CN"/>
        </w:rPr>
        <w:t>中华人民共和国国务院令第</w:t>
      </w:r>
      <w:r>
        <w:rPr>
          <w:rFonts w:hint="eastAsia" w:ascii="仿宋_GB2312" w:hAnsi="仿宋_GB2312" w:eastAsia="仿宋_GB2312" w:cs="仿宋_GB2312"/>
          <w:color w:val="auto"/>
          <w:sz w:val="32"/>
          <w:szCs w:val="32"/>
          <w:highlight w:val="none"/>
          <w:shd w:val="clear" w:color="auto" w:fill="FFFFFF"/>
          <w:lang w:val="en-US" w:eastAsia="zh-CN"/>
        </w:rPr>
        <w:t>412号发布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zh-CN" w:eastAsia="zh-CN"/>
        </w:rPr>
        <w:t>《中央财政国库集中收付代理银行资格认定管理暂行办法》（银发〔2012〕172号）、《中央财政国库集中收付代理银行管理办法》（财库〔2013〕204号）。</w:t>
      </w:r>
    </w:p>
    <w:p>
      <w:pPr>
        <w:wordWrap/>
        <w:adjustRightInd/>
        <w:snapToGrid/>
        <w:spacing w:line="560" w:lineRule="exact"/>
        <w:ind w:left="0" w:leftChars="0" w:firstLine="640" w:firstLineChars="200"/>
        <w:jc w:val="both"/>
        <w:textAlignment w:val="auto"/>
        <w:outlineLvl w:val="9"/>
        <w:rPr>
          <w:rFonts w:hint="eastAsia" w:ascii="黑体" w:hAnsi="华文中宋" w:eastAsia="黑体"/>
          <w:color w:val="auto"/>
          <w:sz w:val="32"/>
          <w:szCs w:val="32"/>
        </w:rPr>
      </w:pPr>
      <w:r>
        <w:rPr>
          <w:rFonts w:hint="eastAsia" w:ascii="黑体" w:hAnsi="华文中宋" w:eastAsia="黑体"/>
          <w:color w:val="auto"/>
          <w:sz w:val="32"/>
          <w:szCs w:val="32"/>
          <w:lang w:val="en-US" w:eastAsia="zh-CN"/>
        </w:rPr>
        <w:t>四、</w:t>
      </w:r>
      <w:r>
        <w:rPr>
          <w:rFonts w:hint="eastAsia" w:ascii="黑体" w:hAnsi="华文中宋" w:eastAsia="黑体"/>
          <w:color w:val="auto"/>
          <w:sz w:val="32"/>
          <w:szCs w:val="32"/>
        </w:rPr>
        <w:t>受理部门</w:t>
      </w:r>
    </w:p>
    <w:p>
      <w:pPr>
        <w:numPr>
          <w:ilvl w:val="0"/>
          <w:numId w:val="0"/>
        </w:numPr>
        <w:wordWrap/>
        <w:adjustRightInd/>
        <w:snapToGrid/>
        <w:spacing w:line="560" w:lineRule="exact"/>
        <w:ind w:leftChars="200"/>
        <w:jc w:val="both"/>
        <w:textAlignment w:val="auto"/>
        <w:outlineLvl w:val="9"/>
        <w:rPr>
          <w:rFonts w:hint="eastAsia" w:ascii="仿宋_GB2312" w:hAnsi="仿宋_GB2312" w:eastAsia="仿宋_GB2312" w:cs="仿宋_GB2312"/>
          <w:color w:val="auto"/>
          <w:sz w:val="32"/>
          <w:szCs w:val="32"/>
          <w:u w:val="none" w:color="auto"/>
          <w:lang w:eastAsia="zh-CN"/>
        </w:rPr>
      </w:pPr>
      <w:r>
        <w:rPr>
          <w:rFonts w:hint="eastAsia" w:ascii="黑体" w:hAnsi="华文中宋" w:eastAsia="黑体"/>
          <w:color w:val="auto"/>
          <w:sz w:val="32"/>
          <w:szCs w:val="32"/>
          <w:lang w:val="en-US" w:eastAsia="zh-CN"/>
        </w:rPr>
        <w:t xml:space="preserve"> </w:t>
      </w:r>
      <w:r>
        <w:rPr>
          <w:rFonts w:hint="eastAsia" w:ascii="仿宋_GB2312" w:hAnsi="仿宋_GB2312" w:eastAsia="仿宋_GB2312" w:cs="仿宋_GB2312"/>
          <w:color w:val="auto"/>
          <w:sz w:val="32"/>
          <w:szCs w:val="32"/>
        </w:rPr>
        <w:t>中国人民银行</w:t>
      </w:r>
      <w:r>
        <w:rPr>
          <w:rFonts w:hint="eastAsia" w:ascii="仿宋_GB2312" w:hAnsi="仿宋_GB2312" w:eastAsia="仿宋_GB2312" w:cs="仿宋_GB2312"/>
          <w:color w:val="auto"/>
          <w:sz w:val="32"/>
          <w:szCs w:val="32"/>
          <w:u w:val="none" w:color="auto"/>
          <w:lang w:eastAsia="zh-CN"/>
        </w:rPr>
        <w:t>青岛市分行国库处</w:t>
      </w:r>
    </w:p>
    <w:p>
      <w:pPr>
        <w:wordWrap/>
        <w:adjustRightInd/>
        <w:snapToGrid/>
        <w:spacing w:line="560" w:lineRule="exact"/>
        <w:ind w:left="0" w:leftChars="0" w:firstLine="640" w:firstLineChars="200"/>
        <w:jc w:val="both"/>
        <w:textAlignment w:val="auto"/>
        <w:outlineLvl w:val="9"/>
        <w:rPr>
          <w:rFonts w:hint="eastAsia" w:ascii="黑体" w:hAnsi="华文中宋" w:eastAsia="黑体"/>
          <w:color w:val="auto"/>
          <w:sz w:val="32"/>
          <w:szCs w:val="32"/>
          <w:lang w:val="en-US" w:eastAsia="zh-CN"/>
        </w:rPr>
      </w:pPr>
      <w:r>
        <w:rPr>
          <w:rFonts w:hint="eastAsia" w:ascii="黑体" w:hAnsi="华文中宋" w:eastAsia="黑体"/>
          <w:color w:val="auto"/>
          <w:sz w:val="32"/>
          <w:szCs w:val="32"/>
          <w:lang w:val="en-US" w:eastAsia="zh-CN"/>
        </w:rPr>
        <w:t>五、受理层级</w:t>
      </w:r>
    </w:p>
    <w:p>
      <w:pPr>
        <w:numPr>
          <w:ilvl w:val="0"/>
          <w:numId w:val="0"/>
        </w:numPr>
        <w:wordWrap/>
        <w:adjustRightInd/>
        <w:snapToGrid/>
        <w:spacing w:line="560" w:lineRule="exact"/>
        <w:ind w:left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黑体" w:hAnsi="华文中宋" w:eastAsia="黑体"/>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青岛市本级、青岛市下辖各区、市</w:t>
      </w:r>
    </w:p>
    <w:p>
      <w:pPr>
        <w:wordWrap/>
        <w:adjustRightInd/>
        <w:snapToGrid/>
        <w:spacing w:line="560" w:lineRule="exact"/>
        <w:ind w:left="0" w:leftChars="0" w:firstLine="640" w:firstLineChars="200"/>
        <w:jc w:val="both"/>
        <w:textAlignment w:val="auto"/>
        <w:outlineLvl w:val="9"/>
        <w:rPr>
          <w:rFonts w:hint="eastAsia" w:ascii="黑体" w:hAnsi="华文中宋" w:eastAsia="黑体"/>
          <w:color w:val="auto"/>
          <w:sz w:val="32"/>
          <w:szCs w:val="32"/>
          <w:lang w:val="en-US" w:eastAsia="zh-CN"/>
        </w:rPr>
      </w:pPr>
      <w:r>
        <w:rPr>
          <w:rFonts w:hint="eastAsia" w:ascii="黑体" w:hAnsi="华文中宋" w:eastAsia="黑体"/>
          <w:color w:val="auto"/>
          <w:sz w:val="32"/>
          <w:szCs w:val="32"/>
          <w:lang w:val="en-US" w:eastAsia="zh-CN"/>
        </w:rPr>
        <w:t>六、办理流程</w:t>
      </w:r>
    </w:p>
    <w:p>
      <w:pPr>
        <w:widowControl w:val="0"/>
        <w:wordWrap/>
        <w:adjustRightInd/>
        <w:snapToGrid/>
        <w:spacing w:line="560" w:lineRule="exact"/>
        <w:ind w:left="0" w:leftChars="0" w:right="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1.申请人提交申请至中国人民银行青岛市分行国库处；</w:t>
      </w:r>
    </w:p>
    <w:p>
      <w:pPr>
        <w:widowControl w:val="0"/>
        <w:wordWrap/>
        <w:adjustRightInd/>
        <w:snapToGrid/>
        <w:spacing w:line="560" w:lineRule="exact"/>
        <w:ind w:left="0" w:leftChars="0" w:right="0" w:firstLine="640" w:firstLineChars="200"/>
        <w:jc w:val="both"/>
        <w:textAlignment w:val="auto"/>
        <w:outlineLvl w:val="9"/>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2.中国人民银行青岛市</w:t>
      </w:r>
      <w:r>
        <w:rPr>
          <w:rFonts w:hint="eastAsia" w:ascii="仿宋_GB2312" w:eastAsia="仿宋_GB2312"/>
          <w:color w:val="auto"/>
          <w:sz w:val="32"/>
          <w:szCs w:val="32"/>
          <w:lang w:val="en-US" w:eastAsia="zh-CN"/>
        </w:rPr>
        <w:t>分</w:t>
      </w:r>
      <w:r>
        <w:rPr>
          <w:rFonts w:hint="eastAsia" w:ascii="仿宋_GB2312" w:eastAsia="仿宋_GB2312"/>
          <w:color w:val="auto"/>
          <w:sz w:val="32"/>
          <w:szCs w:val="32"/>
          <w:lang w:eastAsia="zh-CN"/>
        </w:rPr>
        <w:t>行国库处决定是否予以受理；</w:t>
      </w:r>
    </w:p>
    <w:p>
      <w:pPr>
        <w:wordWrap/>
        <w:adjustRightInd/>
        <w:snapToGrid/>
        <w:spacing w:line="560" w:lineRule="exact"/>
        <w:ind w:left="0" w:leftChars="0" w:firstLine="640" w:firstLineChars="200"/>
        <w:jc w:val="both"/>
        <w:textAlignment w:val="auto"/>
        <w:outlineLvl w:val="9"/>
        <w:rPr>
          <w:rFonts w:hint="eastAsia" w:ascii="黑体" w:hAnsi="华文中宋" w:eastAsia="黑体"/>
          <w:color w:val="auto"/>
          <w:sz w:val="32"/>
          <w:szCs w:val="32"/>
          <w:lang w:val="en-US" w:eastAsia="zh-CN"/>
        </w:rPr>
      </w:pPr>
      <w:r>
        <w:rPr>
          <w:rFonts w:hint="eastAsia" w:ascii="仿宋_GB2312" w:eastAsia="仿宋_GB2312"/>
          <w:color w:val="auto"/>
          <w:sz w:val="32"/>
          <w:szCs w:val="32"/>
          <w:lang w:eastAsia="zh-CN"/>
        </w:rPr>
        <w:t>3.不予受理的，出具不予受理通知书；予以受理的，出具受理通知书，并在规定的时限内做出不予或准予行政许可决定。</w:t>
      </w:r>
    </w:p>
    <w:p>
      <w:pPr>
        <w:wordWrap/>
        <w:adjustRightInd/>
        <w:snapToGrid/>
        <w:spacing w:line="560" w:lineRule="exact"/>
        <w:ind w:left="0" w:leftChars="0" w:firstLine="640" w:firstLineChars="200"/>
        <w:jc w:val="both"/>
        <w:textAlignment w:val="auto"/>
        <w:outlineLvl w:val="9"/>
        <w:rPr>
          <w:rFonts w:hint="eastAsia" w:ascii="黑体" w:hAnsi="华文中宋" w:eastAsia="黑体"/>
          <w:color w:val="auto"/>
          <w:sz w:val="32"/>
          <w:szCs w:val="32"/>
          <w:lang w:val="en-US" w:eastAsia="zh-CN"/>
        </w:rPr>
      </w:pPr>
      <w:r>
        <w:rPr>
          <w:rFonts w:hint="eastAsia" w:ascii="黑体" w:hAnsi="华文中宋" w:eastAsia="黑体"/>
          <w:color w:val="auto"/>
          <w:sz w:val="32"/>
          <w:szCs w:val="32"/>
          <w:lang w:val="en-US" w:eastAsia="zh-CN"/>
        </w:rPr>
        <w:t>七、申请材料</w:t>
      </w:r>
    </w:p>
    <w:p>
      <w:pPr>
        <w:rPr>
          <w:vanish/>
        </w:rPr>
      </w:pPr>
    </w:p>
    <w:tbl>
      <w:tblPr>
        <w:tblStyle w:val="16"/>
        <w:tblW w:w="8845" w:type="dxa"/>
        <w:tblInd w:w="-5" w:type="dxa"/>
        <w:tblLayout w:type="fixed"/>
        <w:tblCellMar>
          <w:top w:w="0" w:type="dxa"/>
          <w:left w:w="0" w:type="dxa"/>
          <w:bottom w:w="0" w:type="dxa"/>
          <w:right w:w="0" w:type="dxa"/>
        </w:tblCellMar>
      </w:tblPr>
      <w:tblGrid>
        <w:gridCol w:w="480"/>
        <w:gridCol w:w="1731"/>
        <w:gridCol w:w="930"/>
        <w:gridCol w:w="450"/>
        <w:gridCol w:w="840"/>
        <w:gridCol w:w="3795"/>
        <w:gridCol w:w="619"/>
      </w:tblGrid>
      <w:tr>
        <w:tblPrEx>
          <w:tblCellMar>
            <w:top w:w="0" w:type="dxa"/>
            <w:left w:w="0" w:type="dxa"/>
            <w:bottom w:w="0" w:type="dxa"/>
            <w:right w:w="0" w:type="dxa"/>
          </w:tblCellMar>
        </w:tblPrEx>
        <w:trPr>
          <w:trHeight w:val="1172" w:hRule="exact"/>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03" w:right="74"/>
              <w:jc w:val="center"/>
              <w:rPr>
                <w:rFonts w:ascii="宋体" w:hAnsi="宋体" w:eastAsia="宋体" w:cs="宋体"/>
                <w:kern w:val="2"/>
                <w:sz w:val="24"/>
                <w:szCs w:val="24"/>
              </w:rPr>
            </w:pPr>
            <w:r>
              <w:rPr>
                <w:rFonts w:hint="eastAsia" w:ascii="宋体" w:hAnsi="宋体" w:eastAsia="宋体" w:cs="宋体"/>
                <w:kern w:val="2"/>
                <w:sz w:val="24"/>
                <w:szCs w:val="24"/>
              </w:rPr>
              <w:t>序</w:t>
            </w:r>
          </w:p>
          <w:p>
            <w:pPr>
              <w:pStyle w:val="20"/>
              <w:ind w:left="103" w:right="74"/>
              <w:jc w:val="center"/>
              <w:rPr>
                <w:rFonts w:ascii="宋体" w:hAnsi="宋体" w:eastAsia="宋体" w:cs="宋体"/>
                <w:kern w:val="2"/>
                <w:sz w:val="24"/>
                <w:szCs w:val="24"/>
              </w:rPr>
            </w:pPr>
            <w:r>
              <w:rPr>
                <w:rFonts w:hint="eastAsia" w:ascii="宋体" w:hAnsi="宋体" w:eastAsia="宋体" w:cs="宋体"/>
                <w:kern w:val="2"/>
                <w:sz w:val="24"/>
                <w:szCs w:val="24"/>
              </w:rPr>
              <w:t>号</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pStyle w:val="20"/>
              <w:ind w:right="331" w:firstLine="240" w:firstLineChars="100"/>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提交材料</w:t>
            </w:r>
          </w:p>
          <w:p>
            <w:pPr>
              <w:pStyle w:val="20"/>
              <w:ind w:right="331"/>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名称</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both"/>
              <w:rPr>
                <w:rFonts w:hint="default" w:ascii="宋体" w:hAnsi="宋体" w:eastAsia="宋体" w:cs="宋体"/>
                <w:kern w:val="2"/>
                <w:sz w:val="24"/>
                <w:szCs w:val="24"/>
                <w:lang w:val="en-US" w:eastAsia="zh-CN"/>
              </w:rPr>
            </w:pPr>
            <w:r>
              <w:rPr>
                <w:rFonts w:hint="eastAsia" w:ascii="宋体" w:hAnsi="宋体" w:eastAsia="宋体" w:cs="宋体"/>
                <w:kern w:val="2"/>
                <w:sz w:val="24"/>
                <w:szCs w:val="24"/>
                <w:lang w:eastAsia="zh-CN"/>
              </w:rPr>
              <w:t>原件</w:t>
            </w:r>
            <w:r>
              <w:rPr>
                <w:rFonts w:hint="eastAsia" w:ascii="宋体" w:hAnsi="宋体" w:eastAsia="宋体" w:cs="宋体"/>
                <w:kern w:val="2"/>
                <w:sz w:val="24"/>
                <w:szCs w:val="24"/>
                <w:lang w:val="en-US" w:eastAsia="zh-CN"/>
              </w:rPr>
              <w:t>/复印件</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份数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center"/>
              <w:rPr>
                <w:rFonts w:ascii="宋体" w:hAnsi="宋体" w:eastAsia="宋体" w:cs="宋体"/>
                <w:kern w:val="2"/>
                <w:sz w:val="24"/>
                <w:szCs w:val="24"/>
              </w:rPr>
            </w:pPr>
            <w:r>
              <w:rPr>
                <w:rFonts w:hint="eastAsia" w:ascii="宋体" w:hAnsi="宋体" w:eastAsia="宋体" w:cs="宋体"/>
                <w:kern w:val="2"/>
                <w:sz w:val="24"/>
                <w:szCs w:val="24"/>
              </w:rPr>
              <w:t>形式</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pStyle w:val="20"/>
              <w:ind w:right="1750"/>
              <w:jc w:val="center"/>
              <w:rPr>
                <w:rFonts w:ascii="宋体" w:hAnsi="宋体" w:eastAsia="宋体" w:cs="宋体"/>
                <w:kern w:val="2"/>
                <w:sz w:val="24"/>
                <w:szCs w:val="24"/>
                <w:lang w:eastAsia="zh-CN"/>
              </w:rPr>
            </w:pPr>
            <w:r>
              <w:rPr>
                <w:rFonts w:hint="eastAsia" w:ascii="宋体" w:hAnsi="宋体" w:eastAsia="宋体" w:cs="宋体"/>
                <w:kern w:val="2"/>
                <w:sz w:val="24"/>
                <w:szCs w:val="24"/>
                <w:lang w:eastAsia="zh-CN"/>
              </w:rPr>
              <w:t>要求</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pStyle w:val="20"/>
              <w:spacing w:line="200" w:lineRule="exact"/>
              <w:jc w:val="center"/>
              <w:rPr>
                <w:rFonts w:ascii="宋体" w:hAnsi="宋体" w:eastAsia="宋体" w:cs="宋体"/>
                <w:kern w:val="2"/>
                <w:sz w:val="24"/>
                <w:szCs w:val="24"/>
              </w:rPr>
            </w:pPr>
          </w:p>
          <w:p>
            <w:pPr>
              <w:pStyle w:val="20"/>
              <w:jc w:val="center"/>
              <w:rPr>
                <w:rFonts w:hint="eastAsia" w:ascii="宋体" w:hAnsi="宋体" w:eastAsia="宋体" w:cs="宋体"/>
                <w:kern w:val="2"/>
                <w:sz w:val="24"/>
                <w:szCs w:val="24"/>
                <w:lang w:eastAsia="zh-CN"/>
              </w:rPr>
            </w:pPr>
            <w:r>
              <w:rPr>
                <w:rFonts w:hint="eastAsia" w:ascii="宋体" w:hAnsi="宋体" w:eastAsia="宋体" w:cs="宋体"/>
                <w:kern w:val="2"/>
                <w:sz w:val="24"/>
                <w:szCs w:val="24"/>
                <w:lang w:eastAsia="zh-CN"/>
              </w:rPr>
              <w:t>备注</w:t>
            </w:r>
          </w:p>
        </w:tc>
      </w:tr>
      <w:tr>
        <w:tblPrEx>
          <w:tblCellMar>
            <w:top w:w="0" w:type="dxa"/>
            <w:left w:w="0" w:type="dxa"/>
            <w:bottom w:w="0" w:type="dxa"/>
            <w:right w:w="0" w:type="dxa"/>
          </w:tblCellMar>
        </w:tblPrEx>
        <w:trPr>
          <w:trHeight w:val="3176" w:hRule="exact"/>
        </w:trPr>
        <w:tc>
          <w:tcPr>
            <w:tcW w:w="480" w:type="dxa"/>
            <w:tcBorders>
              <w:top w:val="single" w:color="000000" w:sz="4" w:space="0"/>
              <w:left w:val="single" w:color="000000" w:sz="4" w:space="0"/>
              <w:bottom w:val="nil"/>
              <w:right w:val="single" w:color="000000" w:sz="4" w:space="0"/>
            </w:tcBorders>
            <w:noWrap w:val="0"/>
            <w:vAlign w:val="top"/>
          </w:tcPr>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before="9" w:line="260" w:lineRule="exact"/>
              <w:rPr>
                <w:rFonts w:ascii="宋体" w:hAnsi="宋体" w:eastAsia="宋体" w:cs="宋体"/>
                <w:kern w:val="2"/>
                <w:sz w:val="24"/>
                <w:szCs w:val="24"/>
              </w:rPr>
            </w:pPr>
          </w:p>
          <w:p>
            <w:pPr>
              <w:pStyle w:val="20"/>
              <w:ind w:left="103"/>
              <w:rPr>
                <w:rFonts w:ascii="宋体" w:hAnsi="宋体" w:eastAsia="宋体" w:cs="宋体"/>
                <w:kern w:val="2"/>
                <w:sz w:val="24"/>
                <w:szCs w:val="24"/>
              </w:rPr>
            </w:pPr>
            <w:r>
              <w:rPr>
                <w:rFonts w:hint="eastAsia" w:ascii="宋体" w:hAnsi="宋体" w:eastAsia="宋体" w:cs="宋体"/>
                <w:w w:val="90"/>
                <w:kern w:val="2"/>
                <w:sz w:val="24"/>
                <w:szCs w:val="24"/>
              </w:rPr>
              <w:t>1</w:t>
            </w:r>
          </w:p>
        </w:tc>
        <w:tc>
          <w:tcPr>
            <w:tcW w:w="1731" w:type="dxa"/>
            <w:tcBorders>
              <w:top w:val="single" w:color="000000" w:sz="4" w:space="0"/>
              <w:left w:val="single" w:color="000000" w:sz="4" w:space="0"/>
              <w:bottom w:val="nil"/>
              <w:right w:val="single" w:color="000000" w:sz="4" w:space="0"/>
            </w:tcBorders>
            <w:noWrap w:val="0"/>
            <w:vAlign w:val="top"/>
          </w:tcPr>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before="9" w:line="260" w:lineRule="exact"/>
              <w:rPr>
                <w:rFonts w:ascii="宋体" w:hAnsi="宋体" w:eastAsia="宋体" w:cs="宋体"/>
                <w:kern w:val="2"/>
                <w:sz w:val="24"/>
                <w:szCs w:val="24"/>
              </w:rPr>
            </w:pPr>
          </w:p>
          <w:p>
            <w:pPr>
              <w:pStyle w:val="20"/>
              <w:rPr>
                <w:rFonts w:ascii="宋体" w:hAnsi="宋体" w:eastAsia="宋体" w:cs="宋体"/>
                <w:kern w:val="2"/>
                <w:sz w:val="24"/>
                <w:szCs w:val="24"/>
              </w:rPr>
            </w:pPr>
            <w:r>
              <w:rPr>
                <w:rFonts w:hint="eastAsia" w:ascii="宋体" w:hAnsi="宋体" w:eastAsia="宋体" w:cs="宋体"/>
                <w:kern w:val="2"/>
                <w:sz w:val="24"/>
                <w:szCs w:val="24"/>
              </w:rPr>
              <w:t>申请书</w:t>
            </w:r>
          </w:p>
        </w:tc>
        <w:tc>
          <w:tcPr>
            <w:tcW w:w="930" w:type="dxa"/>
            <w:tcBorders>
              <w:top w:val="single" w:color="000000" w:sz="4" w:space="0"/>
              <w:left w:val="single" w:color="000000" w:sz="4" w:space="0"/>
              <w:bottom w:val="nil"/>
              <w:right w:val="single" w:color="000000" w:sz="4" w:space="0"/>
            </w:tcBorders>
            <w:noWrap w:val="0"/>
            <w:vAlign w:val="center"/>
          </w:tcPr>
          <w:p>
            <w:pPr>
              <w:pStyle w:val="2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原件</w:t>
            </w:r>
          </w:p>
        </w:tc>
        <w:tc>
          <w:tcPr>
            <w:tcW w:w="450" w:type="dxa"/>
            <w:tcBorders>
              <w:top w:val="single" w:color="000000" w:sz="4" w:space="0"/>
              <w:left w:val="single" w:color="000000" w:sz="4" w:space="0"/>
              <w:bottom w:val="nil"/>
              <w:right w:val="single" w:color="000000" w:sz="4" w:space="0"/>
            </w:tcBorders>
            <w:noWrap w:val="0"/>
            <w:vAlign w:val="center"/>
          </w:tcPr>
          <w:p>
            <w:pPr>
              <w:pStyle w:val="2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nil"/>
              <w:right w:val="single" w:color="000000" w:sz="4" w:space="0"/>
            </w:tcBorders>
            <w:noWrap w:val="0"/>
            <w:vAlign w:val="center"/>
          </w:tcPr>
          <w:p>
            <w:pPr>
              <w:pStyle w:val="20"/>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single" w:color="000000" w:sz="4" w:space="0"/>
              <w:right w:val="single" w:color="000000" w:sz="4" w:space="0"/>
            </w:tcBorders>
            <w:noWrap w:val="0"/>
            <w:vAlign w:val="top"/>
          </w:tcPr>
          <w:p>
            <w:pPr>
              <w:spacing w:line="310" w:lineRule="exact"/>
              <w:ind w:left="103"/>
              <w:rPr>
                <w:rFonts w:ascii="宋体" w:hAnsi="宋体" w:cs="宋体"/>
                <w:sz w:val="24"/>
                <w:szCs w:val="24"/>
                <w:lang w:eastAsia="en-US"/>
              </w:rPr>
            </w:pPr>
            <w:r>
              <w:rPr>
                <w:rStyle w:val="21"/>
                <w:rFonts w:hint="default"/>
              </w:rPr>
              <w:t>申请书内容包括前十大股东控股情况（以认定通知落款日期为准）、机构设置、主管部门职责、人员配备、网点分布、岗位责任、信息系统建设、资金汇划渠道、国库集中收付业务管理办法和操作规程、风险防范机制，根据国库集中收付业务需要制定的计算机硬件配置、软件开发及联网通讯方案等配套措施、服务承诺等。加盖单位公章。</w:t>
            </w:r>
          </w:p>
        </w:tc>
        <w:tc>
          <w:tcPr>
            <w:tcW w:w="619" w:type="dxa"/>
            <w:tcBorders>
              <w:top w:val="single" w:color="000000" w:sz="4" w:space="0"/>
              <w:left w:val="single" w:color="000000" w:sz="4" w:space="0"/>
              <w:bottom w:val="nil"/>
              <w:right w:val="single" w:color="000000" w:sz="4" w:space="0"/>
            </w:tcBorders>
            <w:noWrap w:val="0"/>
            <w:vAlign w:val="top"/>
          </w:tcPr>
          <w:p>
            <w:pPr>
              <w:pStyle w:val="20"/>
              <w:spacing w:line="200" w:lineRule="exact"/>
              <w:jc w:val="center"/>
              <w:rPr>
                <w:rFonts w:ascii="宋体" w:hAnsi="宋体" w:eastAsia="宋体" w:cs="宋体"/>
                <w:kern w:val="2"/>
                <w:sz w:val="24"/>
                <w:szCs w:val="24"/>
              </w:rPr>
            </w:pPr>
          </w:p>
          <w:p>
            <w:pPr>
              <w:pStyle w:val="20"/>
              <w:spacing w:line="200" w:lineRule="exact"/>
              <w:jc w:val="center"/>
              <w:rPr>
                <w:rFonts w:ascii="宋体" w:hAnsi="宋体" w:eastAsia="宋体" w:cs="宋体"/>
                <w:kern w:val="2"/>
                <w:sz w:val="24"/>
                <w:szCs w:val="24"/>
              </w:rPr>
            </w:pPr>
          </w:p>
          <w:p>
            <w:pPr>
              <w:pStyle w:val="20"/>
              <w:spacing w:line="200" w:lineRule="exact"/>
              <w:jc w:val="center"/>
              <w:rPr>
                <w:rFonts w:ascii="宋体" w:hAnsi="宋体" w:eastAsia="宋体" w:cs="宋体"/>
                <w:kern w:val="2"/>
                <w:sz w:val="24"/>
                <w:szCs w:val="24"/>
              </w:rPr>
            </w:pPr>
          </w:p>
          <w:p>
            <w:pPr>
              <w:pStyle w:val="20"/>
              <w:spacing w:line="200" w:lineRule="exact"/>
              <w:jc w:val="center"/>
              <w:rPr>
                <w:rFonts w:ascii="宋体" w:hAnsi="宋体" w:eastAsia="宋体" w:cs="宋体"/>
                <w:kern w:val="2"/>
                <w:sz w:val="24"/>
                <w:szCs w:val="24"/>
              </w:rPr>
            </w:pPr>
          </w:p>
          <w:p>
            <w:pPr>
              <w:pStyle w:val="20"/>
              <w:spacing w:before="13"/>
              <w:jc w:val="center"/>
              <w:rPr>
                <w:rFonts w:ascii="宋体" w:hAnsi="宋体" w:eastAsia="宋体" w:cs="宋体"/>
                <w:kern w:val="2"/>
                <w:sz w:val="24"/>
                <w:szCs w:val="24"/>
              </w:rPr>
            </w:pPr>
          </w:p>
          <w:p>
            <w:pPr>
              <w:wordWrap/>
              <w:adjustRightInd/>
              <w:snapToGrid/>
              <w:spacing w:line="560" w:lineRule="exact"/>
              <w:ind w:left="0" w:leftChars="0" w:firstLine="480" w:firstLineChars="200"/>
              <w:jc w:val="both"/>
              <w:textAlignment w:val="auto"/>
              <w:outlineLvl w:val="9"/>
              <w:rPr>
                <w:rFonts w:ascii="宋体" w:hAnsi="宋体" w:eastAsia="宋体" w:cs="宋体"/>
                <w:kern w:val="2"/>
                <w:sz w:val="24"/>
                <w:szCs w:val="24"/>
                <w:lang w:eastAsia="zh-CN"/>
              </w:rPr>
            </w:pPr>
          </w:p>
        </w:tc>
      </w:tr>
      <w:tr>
        <w:tblPrEx>
          <w:tblCellMar>
            <w:top w:w="0" w:type="dxa"/>
            <w:left w:w="0" w:type="dxa"/>
            <w:bottom w:w="0" w:type="dxa"/>
            <w:right w:w="0" w:type="dxa"/>
          </w:tblCellMar>
        </w:tblPrEx>
        <w:trPr>
          <w:trHeight w:val="983" w:hRule="exact"/>
        </w:trPr>
        <w:tc>
          <w:tcPr>
            <w:tcW w:w="480" w:type="dxa"/>
            <w:tcBorders>
              <w:top w:val="single" w:color="000000" w:sz="4" w:space="0"/>
              <w:left w:val="single" w:color="000000" w:sz="4" w:space="0"/>
              <w:bottom w:val="single" w:color="000000" w:sz="4" w:space="0"/>
              <w:right w:val="single" w:color="000000" w:sz="4" w:space="0"/>
            </w:tcBorders>
            <w:noWrap w:val="0"/>
            <w:vAlign w:val="center"/>
          </w:tcPr>
          <w:p>
            <w:pPr>
              <w:pStyle w:val="20"/>
              <w:ind w:right="130"/>
              <w:jc w:val="center"/>
              <w:rPr>
                <w:rFonts w:ascii="宋体" w:hAnsi="宋体" w:eastAsia="宋体" w:cs="宋体"/>
                <w:kern w:val="2"/>
                <w:sz w:val="24"/>
                <w:szCs w:val="24"/>
              </w:rPr>
            </w:pPr>
            <w:r>
              <w:rPr>
                <w:rFonts w:hint="eastAsia" w:ascii="宋体" w:hAnsi="宋体" w:eastAsia="宋体" w:cs="宋体"/>
                <w:w w:val="90"/>
                <w:kern w:val="2"/>
                <w:sz w:val="24"/>
                <w:szCs w:val="24"/>
              </w:rPr>
              <w:t>2</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pStyle w:val="20"/>
              <w:jc w:val="both"/>
              <w:rPr>
                <w:rFonts w:ascii="宋体" w:hAnsi="宋体" w:eastAsia="宋体" w:cs="宋体"/>
                <w:kern w:val="2"/>
                <w:sz w:val="24"/>
                <w:szCs w:val="24"/>
              </w:rPr>
            </w:pPr>
            <w:r>
              <w:rPr>
                <w:rFonts w:hint="eastAsia" w:ascii="宋体" w:hAnsi="宋体" w:eastAsia="宋体" w:cs="宋体"/>
                <w:kern w:val="2"/>
                <w:sz w:val="24"/>
                <w:szCs w:val="24"/>
              </w:rPr>
              <w:t>申请表</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原件</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0"/>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single" w:color="000000" w:sz="4" w:space="0"/>
              <w:right w:val="single" w:color="000000" w:sz="4" w:space="0"/>
            </w:tcBorders>
            <w:noWrap w:val="0"/>
            <w:vAlign w:val="center"/>
          </w:tcPr>
          <w:p>
            <w:pPr>
              <w:pStyle w:val="20"/>
              <w:rPr>
                <w:rFonts w:ascii="宋体" w:hAnsi="宋体" w:eastAsia="宋体" w:cs="宋体"/>
                <w:kern w:val="2"/>
                <w:sz w:val="24"/>
                <w:szCs w:val="24"/>
              </w:rPr>
            </w:pPr>
            <w:r>
              <w:rPr>
                <w:rFonts w:hint="eastAsia" w:ascii="宋体" w:hAnsi="宋体" w:eastAsia="宋体" w:cs="宋体"/>
                <w:kern w:val="2"/>
                <w:sz w:val="24"/>
                <w:szCs w:val="24"/>
              </w:rPr>
              <w:t>加盖单位公章。</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pStyle w:val="20"/>
              <w:spacing w:line="312" w:lineRule="exact"/>
              <w:jc w:val="center"/>
              <w:rPr>
                <w:rFonts w:ascii="宋体" w:hAnsi="宋体" w:eastAsia="宋体" w:cs="宋体"/>
                <w:kern w:val="2"/>
                <w:sz w:val="24"/>
                <w:szCs w:val="24"/>
              </w:rPr>
            </w:pPr>
          </w:p>
        </w:tc>
      </w:tr>
      <w:tr>
        <w:tblPrEx>
          <w:tblCellMar>
            <w:top w:w="0" w:type="dxa"/>
            <w:left w:w="0" w:type="dxa"/>
            <w:bottom w:w="0" w:type="dxa"/>
            <w:right w:w="0" w:type="dxa"/>
          </w:tblCellMar>
        </w:tblPrEx>
        <w:trPr>
          <w:trHeight w:val="1384" w:hRule="exact"/>
        </w:trPr>
        <w:tc>
          <w:tcPr>
            <w:tcW w:w="480" w:type="dxa"/>
            <w:tcBorders>
              <w:top w:val="single" w:color="000000" w:sz="4" w:space="0"/>
              <w:left w:val="single" w:color="000000" w:sz="4" w:space="0"/>
              <w:bottom w:val="single" w:color="000000" w:sz="4" w:space="0"/>
              <w:right w:val="single" w:color="000000" w:sz="4" w:space="0"/>
            </w:tcBorders>
            <w:noWrap w:val="0"/>
            <w:vAlign w:val="top"/>
          </w:tcPr>
          <w:p>
            <w:pPr>
              <w:pStyle w:val="20"/>
              <w:spacing w:line="13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ind w:left="130" w:right="130"/>
              <w:rPr>
                <w:rFonts w:ascii="宋体" w:hAnsi="宋体" w:eastAsia="宋体" w:cs="宋体"/>
                <w:kern w:val="2"/>
                <w:sz w:val="24"/>
                <w:szCs w:val="24"/>
              </w:rPr>
            </w:pPr>
            <w:r>
              <w:rPr>
                <w:rFonts w:hint="eastAsia" w:ascii="宋体" w:hAnsi="宋体" w:eastAsia="宋体" w:cs="宋体"/>
                <w:w w:val="90"/>
                <w:kern w:val="2"/>
                <w:sz w:val="24"/>
                <w:szCs w:val="24"/>
              </w:rPr>
              <w:t>3</w:t>
            </w:r>
          </w:p>
        </w:tc>
        <w:tc>
          <w:tcPr>
            <w:tcW w:w="1731" w:type="dxa"/>
            <w:tcBorders>
              <w:top w:val="single" w:color="000000" w:sz="4" w:space="0"/>
              <w:left w:val="single" w:color="000000" w:sz="4" w:space="0"/>
              <w:bottom w:val="single" w:color="000000" w:sz="4" w:space="0"/>
              <w:right w:val="single" w:color="000000" w:sz="4" w:space="0"/>
            </w:tcBorders>
            <w:noWrap w:val="0"/>
            <w:vAlign w:val="top"/>
          </w:tcPr>
          <w:p>
            <w:pPr>
              <w:pStyle w:val="20"/>
              <w:spacing w:line="312" w:lineRule="exact"/>
              <w:rPr>
                <w:rFonts w:ascii="宋体" w:hAnsi="宋体" w:eastAsia="宋体" w:cs="宋体"/>
                <w:kern w:val="2"/>
                <w:sz w:val="24"/>
                <w:szCs w:val="24"/>
                <w:lang w:eastAsia="zh-CN"/>
              </w:rPr>
            </w:pPr>
            <w:r>
              <w:rPr>
                <w:rFonts w:hint="eastAsia" w:ascii="宋体" w:hAnsi="宋体" w:eastAsia="宋体" w:cs="宋体"/>
                <w:kern w:val="2"/>
                <w:sz w:val="24"/>
                <w:szCs w:val="24"/>
                <w:lang w:eastAsia="zh-CN"/>
              </w:rPr>
              <w:t>《金融许可证》、《企业法人营业执照》（副本）</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复印件</w:t>
            </w: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0"/>
              <w:spacing w:line="130" w:lineRule="exact"/>
              <w:jc w:val="center"/>
              <w:rPr>
                <w:rFonts w:ascii="宋体" w:hAnsi="宋体" w:eastAsia="宋体" w:cs="宋体"/>
                <w:kern w:val="2"/>
                <w:sz w:val="24"/>
                <w:szCs w:val="24"/>
              </w:rPr>
            </w:pPr>
          </w:p>
          <w:p>
            <w:pPr>
              <w:pStyle w:val="20"/>
              <w:ind w:left="139"/>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single" w:color="000000" w:sz="4" w:space="0"/>
              <w:right w:val="single" w:color="000000" w:sz="4" w:space="0"/>
            </w:tcBorders>
            <w:noWrap w:val="0"/>
            <w:vAlign w:val="top"/>
          </w:tcPr>
          <w:p>
            <w:pPr>
              <w:pStyle w:val="20"/>
              <w:spacing w:line="13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ind w:left="103"/>
              <w:rPr>
                <w:rFonts w:ascii="宋体" w:hAnsi="宋体" w:eastAsia="宋体" w:cs="宋体"/>
                <w:kern w:val="2"/>
                <w:sz w:val="24"/>
                <w:szCs w:val="24"/>
              </w:rPr>
            </w:pPr>
          </w:p>
          <w:p>
            <w:pPr>
              <w:pStyle w:val="20"/>
              <w:ind w:left="103"/>
              <w:rPr>
                <w:rFonts w:ascii="宋体" w:hAnsi="宋体" w:eastAsia="宋体" w:cs="宋体"/>
                <w:kern w:val="2"/>
                <w:sz w:val="24"/>
                <w:szCs w:val="24"/>
              </w:rPr>
            </w:pPr>
            <w:r>
              <w:rPr>
                <w:rFonts w:hint="eastAsia" w:ascii="宋体" w:hAnsi="宋体" w:eastAsia="宋体" w:cs="宋体"/>
                <w:kern w:val="2"/>
                <w:sz w:val="24"/>
                <w:szCs w:val="24"/>
              </w:rPr>
              <w:t>加盖单位公章。</w:t>
            </w:r>
          </w:p>
        </w:tc>
        <w:tc>
          <w:tcPr>
            <w:tcW w:w="619" w:type="dxa"/>
            <w:tcBorders>
              <w:top w:val="single" w:color="000000" w:sz="4" w:space="0"/>
              <w:left w:val="single" w:color="000000" w:sz="4" w:space="0"/>
              <w:bottom w:val="single" w:color="000000" w:sz="4" w:space="0"/>
              <w:right w:val="single" w:color="000000" w:sz="4" w:space="0"/>
            </w:tcBorders>
            <w:noWrap w:val="0"/>
            <w:vAlign w:val="center"/>
          </w:tcPr>
          <w:p>
            <w:pPr>
              <w:pStyle w:val="20"/>
              <w:spacing w:before="5"/>
              <w:jc w:val="center"/>
              <w:rPr>
                <w:rFonts w:ascii="宋体" w:hAnsi="宋体" w:eastAsia="宋体" w:cs="宋体"/>
                <w:kern w:val="2"/>
                <w:sz w:val="24"/>
                <w:szCs w:val="24"/>
              </w:rPr>
            </w:pPr>
          </w:p>
          <w:p>
            <w:pPr>
              <w:pStyle w:val="20"/>
              <w:ind w:left="105" w:right="100"/>
              <w:jc w:val="center"/>
              <w:rPr>
                <w:rFonts w:ascii="宋体" w:hAnsi="宋体" w:eastAsia="宋体" w:cs="宋体"/>
                <w:kern w:val="2"/>
                <w:sz w:val="24"/>
                <w:szCs w:val="24"/>
              </w:rPr>
            </w:pPr>
          </w:p>
        </w:tc>
      </w:tr>
      <w:tr>
        <w:tblPrEx>
          <w:tblCellMar>
            <w:top w:w="0" w:type="dxa"/>
            <w:left w:w="0" w:type="dxa"/>
            <w:bottom w:w="0" w:type="dxa"/>
            <w:right w:w="0" w:type="dxa"/>
          </w:tblCellMar>
        </w:tblPrEx>
        <w:trPr>
          <w:trHeight w:val="1443" w:hRule="exact"/>
        </w:trPr>
        <w:tc>
          <w:tcPr>
            <w:tcW w:w="480" w:type="dxa"/>
            <w:tcBorders>
              <w:top w:val="single" w:color="000000" w:sz="4" w:space="0"/>
              <w:left w:val="single" w:color="000000" w:sz="4" w:space="0"/>
              <w:bottom w:val="nil"/>
              <w:right w:val="single" w:color="000000" w:sz="4" w:space="0"/>
            </w:tcBorders>
            <w:noWrap w:val="0"/>
            <w:vAlign w:val="top"/>
          </w:tcPr>
          <w:p>
            <w:pPr>
              <w:pStyle w:val="20"/>
              <w:spacing w:line="200" w:lineRule="exact"/>
              <w:rPr>
                <w:rFonts w:ascii="宋体" w:hAnsi="宋体" w:eastAsia="宋体" w:cs="宋体"/>
                <w:kern w:val="2"/>
                <w:sz w:val="24"/>
                <w:szCs w:val="24"/>
              </w:rPr>
            </w:pPr>
          </w:p>
          <w:p>
            <w:pPr>
              <w:pStyle w:val="20"/>
              <w:spacing w:before="6" w:line="280" w:lineRule="exact"/>
              <w:rPr>
                <w:rFonts w:ascii="宋体" w:hAnsi="宋体" w:eastAsia="宋体" w:cs="宋体"/>
                <w:kern w:val="2"/>
                <w:sz w:val="24"/>
                <w:szCs w:val="24"/>
              </w:rPr>
            </w:pPr>
          </w:p>
          <w:p>
            <w:pPr>
              <w:pStyle w:val="20"/>
              <w:ind w:left="130" w:right="130"/>
              <w:rPr>
                <w:rFonts w:ascii="宋体" w:hAnsi="宋体" w:eastAsia="宋体" w:cs="宋体"/>
                <w:kern w:val="2"/>
                <w:sz w:val="24"/>
                <w:szCs w:val="24"/>
              </w:rPr>
            </w:pPr>
            <w:r>
              <w:rPr>
                <w:rFonts w:hint="eastAsia" w:ascii="宋体" w:hAnsi="宋体" w:eastAsia="宋体" w:cs="宋体"/>
                <w:w w:val="90"/>
                <w:kern w:val="2"/>
                <w:sz w:val="24"/>
                <w:szCs w:val="24"/>
              </w:rPr>
              <w:t>4</w:t>
            </w:r>
          </w:p>
        </w:tc>
        <w:tc>
          <w:tcPr>
            <w:tcW w:w="1731" w:type="dxa"/>
            <w:tcBorders>
              <w:top w:val="single" w:color="000000" w:sz="4" w:space="0"/>
              <w:left w:val="single" w:color="000000" w:sz="4" w:space="0"/>
              <w:bottom w:val="single" w:color="000000" w:sz="4" w:space="0"/>
              <w:right w:val="single" w:color="000000" w:sz="4" w:space="0"/>
            </w:tcBorders>
            <w:noWrap w:val="0"/>
            <w:vAlign w:val="top"/>
          </w:tcPr>
          <w:p>
            <w:pPr>
              <w:pStyle w:val="20"/>
              <w:spacing w:line="312" w:lineRule="exact"/>
              <w:ind w:left="103"/>
              <w:rPr>
                <w:rFonts w:ascii="宋体" w:hAnsi="宋体" w:eastAsia="宋体" w:cs="宋体"/>
                <w:kern w:val="2"/>
                <w:sz w:val="24"/>
                <w:szCs w:val="24"/>
                <w:lang w:eastAsia="zh-CN"/>
              </w:rPr>
            </w:pPr>
            <w:r>
              <w:rPr>
                <w:rFonts w:hint="eastAsia" w:ascii="宋体" w:hAnsi="宋体" w:eastAsia="宋体" w:cs="宋体"/>
                <w:kern w:val="2"/>
                <w:sz w:val="24"/>
                <w:szCs w:val="24"/>
                <w:lang w:eastAsia="zh-CN"/>
              </w:rPr>
              <w:t>申请年度前两个年度境内资产负债表</w:t>
            </w:r>
            <w:r>
              <w:rPr>
                <w:rFonts w:hint="eastAsia" w:ascii="宋体" w:hAnsi="宋体" w:eastAsia="宋体" w:cs="宋体"/>
                <w:spacing w:val="-24"/>
                <w:kern w:val="2"/>
                <w:sz w:val="24"/>
                <w:szCs w:val="24"/>
                <w:lang w:eastAsia="zh-CN"/>
              </w:rPr>
              <w:t>、</w:t>
            </w:r>
            <w:r>
              <w:rPr>
                <w:rFonts w:hint="eastAsia" w:ascii="宋体" w:hAnsi="宋体" w:eastAsia="宋体" w:cs="宋体"/>
                <w:kern w:val="2"/>
                <w:sz w:val="24"/>
                <w:szCs w:val="24"/>
                <w:lang w:eastAsia="zh-CN"/>
              </w:rPr>
              <w:t>利润表等财务报表</w:t>
            </w:r>
          </w:p>
        </w:tc>
        <w:tc>
          <w:tcPr>
            <w:tcW w:w="930" w:type="dxa"/>
            <w:tcBorders>
              <w:top w:val="single" w:color="000000" w:sz="4" w:space="0"/>
              <w:left w:val="single" w:color="000000" w:sz="4" w:space="0"/>
              <w:bottom w:val="nil"/>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复印件</w:t>
            </w:r>
          </w:p>
        </w:tc>
        <w:tc>
          <w:tcPr>
            <w:tcW w:w="450" w:type="dxa"/>
            <w:tcBorders>
              <w:top w:val="single" w:color="000000" w:sz="4" w:space="0"/>
              <w:left w:val="single" w:color="000000" w:sz="4" w:space="0"/>
              <w:bottom w:val="nil"/>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nil"/>
              <w:right w:val="single" w:color="000000" w:sz="4" w:space="0"/>
            </w:tcBorders>
            <w:noWrap w:val="0"/>
            <w:vAlign w:val="center"/>
          </w:tcPr>
          <w:p>
            <w:pPr>
              <w:pStyle w:val="20"/>
              <w:spacing w:line="200" w:lineRule="exact"/>
              <w:jc w:val="center"/>
              <w:rPr>
                <w:rFonts w:ascii="宋体" w:hAnsi="宋体" w:eastAsia="宋体" w:cs="宋体"/>
                <w:kern w:val="2"/>
                <w:sz w:val="24"/>
                <w:szCs w:val="24"/>
              </w:rPr>
            </w:pPr>
          </w:p>
          <w:p>
            <w:pPr>
              <w:pStyle w:val="20"/>
              <w:ind w:left="139"/>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nil"/>
              <w:right w:val="single" w:color="000000" w:sz="4" w:space="0"/>
            </w:tcBorders>
            <w:noWrap w:val="0"/>
            <w:vAlign w:val="top"/>
          </w:tcPr>
          <w:p>
            <w:pPr>
              <w:pStyle w:val="20"/>
              <w:spacing w:line="200" w:lineRule="exact"/>
              <w:rPr>
                <w:rFonts w:ascii="宋体" w:hAnsi="宋体" w:eastAsia="宋体" w:cs="宋体"/>
                <w:kern w:val="2"/>
                <w:sz w:val="24"/>
                <w:szCs w:val="24"/>
              </w:rPr>
            </w:pPr>
          </w:p>
          <w:p>
            <w:pPr>
              <w:pStyle w:val="20"/>
              <w:spacing w:before="6" w:line="280" w:lineRule="exact"/>
              <w:rPr>
                <w:rFonts w:ascii="宋体" w:hAnsi="宋体" w:eastAsia="宋体" w:cs="宋体"/>
                <w:kern w:val="2"/>
                <w:sz w:val="24"/>
                <w:szCs w:val="24"/>
              </w:rPr>
            </w:pPr>
          </w:p>
          <w:p>
            <w:pPr>
              <w:pStyle w:val="20"/>
              <w:ind w:left="103"/>
              <w:rPr>
                <w:rFonts w:ascii="宋体" w:hAnsi="宋体" w:eastAsia="宋体" w:cs="宋体"/>
                <w:kern w:val="2"/>
                <w:sz w:val="24"/>
                <w:szCs w:val="24"/>
              </w:rPr>
            </w:pPr>
            <w:r>
              <w:rPr>
                <w:rFonts w:hint="eastAsia" w:ascii="宋体" w:hAnsi="宋体" w:eastAsia="宋体" w:cs="宋体"/>
                <w:kern w:val="2"/>
                <w:sz w:val="24"/>
                <w:szCs w:val="24"/>
              </w:rPr>
              <w:t>加盖单位公章。</w:t>
            </w:r>
          </w:p>
        </w:tc>
        <w:tc>
          <w:tcPr>
            <w:tcW w:w="619" w:type="dxa"/>
            <w:tcBorders>
              <w:top w:val="single" w:color="000000" w:sz="4" w:space="0"/>
              <w:left w:val="single" w:color="000000" w:sz="4" w:space="0"/>
              <w:bottom w:val="nil"/>
              <w:right w:val="single" w:color="000000" w:sz="4" w:space="0"/>
            </w:tcBorders>
            <w:noWrap w:val="0"/>
            <w:vAlign w:val="top"/>
          </w:tcPr>
          <w:p>
            <w:pPr>
              <w:pStyle w:val="20"/>
              <w:ind w:left="105" w:right="100"/>
              <w:jc w:val="center"/>
              <w:rPr>
                <w:rFonts w:ascii="宋体" w:hAnsi="宋体" w:eastAsia="宋体" w:cs="宋体"/>
                <w:kern w:val="2"/>
                <w:sz w:val="24"/>
                <w:szCs w:val="24"/>
                <w:lang w:eastAsia="zh-CN"/>
              </w:rPr>
            </w:pPr>
          </w:p>
          <w:p>
            <w:pPr>
              <w:pStyle w:val="20"/>
              <w:ind w:left="105" w:right="100"/>
              <w:jc w:val="center"/>
              <w:rPr>
                <w:rFonts w:ascii="宋体" w:hAnsi="宋体" w:eastAsia="宋体" w:cs="宋体"/>
                <w:kern w:val="2"/>
                <w:sz w:val="24"/>
                <w:szCs w:val="24"/>
              </w:rPr>
            </w:pPr>
          </w:p>
        </w:tc>
      </w:tr>
      <w:tr>
        <w:tblPrEx>
          <w:tblCellMar>
            <w:top w:w="0" w:type="dxa"/>
            <w:left w:w="0" w:type="dxa"/>
            <w:bottom w:w="0" w:type="dxa"/>
            <w:right w:w="0" w:type="dxa"/>
          </w:tblCellMar>
        </w:tblPrEx>
        <w:trPr>
          <w:trHeight w:val="1899" w:hRule="exact"/>
        </w:trPr>
        <w:tc>
          <w:tcPr>
            <w:tcW w:w="480" w:type="dxa"/>
            <w:tcBorders>
              <w:top w:val="single" w:color="000000" w:sz="4" w:space="0"/>
              <w:left w:val="single" w:color="000000" w:sz="4" w:space="0"/>
              <w:bottom w:val="nil"/>
              <w:right w:val="single" w:color="000000" w:sz="4" w:space="0"/>
            </w:tcBorders>
            <w:noWrap w:val="0"/>
            <w:vAlign w:val="top"/>
          </w:tcPr>
          <w:p>
            <w:pPr>
              <w:pStyle w:val="20"/>
              <w:spacing w:before="8" w:line="19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ind w:left="130" w:right="130"/>
              <w:jc w:val="center"/>
              <w:rPr>
                <w:rFonts w:ascii="宋体" w:hAnsi="宋体" w:eastAsia="宋体" w:cs="宋体"/>
                <w:kern w:val="2"/>
                <w:sz w:val="24"/>
                <w:szCs w:val="24"/>
              </w:rPr>
            </w:pPr>
            <w:r>
              <w:rPr>
                <w:rFonts w:hint="eastAsia" w:ascii="宋体" w:hAnsi="宋体" w:eastAsia="宋体" w:cs="宋体"/>
                <w:w w:val="90"/>
                <w:kern w:val="2"/>
                <w:sz w:val="24"/>
                <w:szCs w:val="24"/>
              </w:rPr>
              <w:t>5</w:t>
            </w:r>
          </w:p>
        </w:tc>
        <w:tc>
          <w:tcPr>
            <w:tcW w:w="1731" w:type="dxa"/>
            <w:tcBorders>
              <w:top w:val="single" w:color="000000" w:sz="4" w:space="0"/>
              <w:left w:val="single" w:color="000000" w:sz="4" w:space="0"/>
              <w:bottom w:val="single" w:color="000000" w:sz="4" w:space="0"/>
              <w:right w:val="single" w:color="000000" w:sz="4" w:space="0"/>
            </w:tcBorders>
            <w:noWrap w:val="0"/>
            <w:vAlign w:val="top"/>
          </w:tcPr>
          <w:p>
            <w:pPr>
              <w:pStyle w:val="20"/>
              <w:spacing w:line="312" w:lineRule="exact"/>
              <w:ind w:left="103"/>
              <w:rPr>
                <w:rFonts w:ascii="宋体" w:hAnsi="宋体" w:eastAsia="宋体" w:cs="宋体"/>
                <w:kern w:val="2"/>
                <w:sz w:val="24"/>
                <w:szCs w:val="24"/>
                <w:lang w:eastAsia="zh-CN"/>
              </w:rPr>
            </w:pPr>
            <w:r>
              <w:rPr>
                <w:rFonts w:hint="eastAsia" w:ascii="宋体" w:hAnsi="宋体" w:eastAsia="宋体" w:cs="宋体"/>
                <w:kern w:val="2"/>
                <w:sz w:val="24"/>
                <w:szCs w:val="24"/>
                <w:lang w:eastAsia="zh-CN"/>
              </w:rPr>
              <w:t>金融监管部门</w:t>
            </w:r>
            <w:r>
              <w:rPr>
                <w:rFonts w:hint="eastAsia" w:ascii="宋体" w:hAnsi="宋体" w:eastAsia="宋体" w:cs="宋体"/>
                <w:spacing w:val="-24"/>
                <w:kern w:val="2"/>
                <w:sz w:val="24"/>
                <w:szCs w:val="24"/>
                <w:lang w:eastAsia="zh-CN"/>
              </w:rPr>
              <w:t>、</w:t>
            </w:r>
            <w:r>
              <w:rPr>
                <w:rFonts w:hint="eastAsia" w:ascii="宋体" w:hAnsi="宋体" w:eastAsia="宋体" w:cs="宋体"/>
                <w:kern w:val="2"/>
                <w:sz w:val="24"/>
                <w:szCs w:val="24"/>
                <w:lang w:eastAsia="zh-CN"/>
              </w:rPr>
              <w:t>政府审计部门</w:t>
            </w:r>
            <w:r>
              <w:rPr>
                <w:rFonts w:hint="eastAsia" w:ascii="宋体" w:hAnsi="宋体" w:eastAsia="宋体" w:cs="宋体"/>
                <w:spacing w:val="-24"/>
                <w:kern w:val="2"/>
                <w:sz w:val="24"/>
                <w:szCs w:val="24"/>
                <w:lang w:eastAsia="zh-CN"/>
              </w:rPr>
              <w:t>、</w:t>
            </w:r>
            <w:r>
              <w:rPr>
                <w:rFonts w:hint="eastAsia" w:ascii="宋体" w:hAnsi="宋体" w:eastAsia="宋体" w:cs="宋体"/>
                <w:kern w:val="2"/>
                <w:sz w:val="24"/>
                <w:szCs w:val="24"/>
                <w:lang w:eastAsia="zh-CN"/>
              </w:rPr>
              <w:t>会计师事务所作出最新的监管报告</w:t>
            </w:r>
            <w:r>
              <w:rPr>
                <w:rFonts w:hint="eastAsia" w:ascii="宋体" w:hAnsi="宋体" w:eastAsia="宋体" w:cs="宋体"/>
                <w:spacing w:val="-24"/>
                <w:kern w:val="2"/>
                <w:sz w:val="24"/>
                <w:szCs w:val="24"/>
                <w:lang w:eastAsia="zh-CN"/>
              </w:rPr>
              <w:t>、</w:t>
            </w:r>
            <w:r>
              <w:rPr>
                <w:rFonts w:hint="eastAsia" w:ascii="宋体" w:hAnsi="宋体" w:eastAsia="宋体" w:cs="宋体"/>
                <w:kern w:val="2"/>
                <w:sz w:val="24"/>
                <w:szCs w:val="24"/>
                <w:lang w:eastAsia="zh-CN"/>
              </w:rPr>
              <w:t>审计报告</w:t>
            </w:r>
          </w:p>
        </w:tc>
        <w:tc>
          <w:tcPr>
            <w:tcW w:w="930" w:type="dxa"/>
            <w:tcBorders>
              <w:top w:val="single" w:color="000000" w:sz="4" w:space="0"/>
              <w:left w:val="single" w:color="000000" w:sz="4" w:space="0"/>
              <w:bottom w:val="nil"/>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复印件</w:t>
            </w:r>
          </w:p>
        </w:tc>
        <w:tc>
          <w:tcPr>
            <w:tcW w:w="450" w:type="dxa"/>
            <w:tcBorders>
              <w:top w:val="single" w:color="000000" w:sz="4" w:space="0"/>
              <w:left w:val="single" w:color="000000" w:sz="4" w:space="0"/>
              <w:bottom w:val="nil"/>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nil"/>
              <w:right w:val="single" w:color="000000" w:sz="4" w:space="0"/>
            </w:tcBorders>
            <w:noWrap w:val="0"/>
            <w:vAlign w:val="center"/>
          </w:tcPr>
          <w:p>
            <w:pPr>
              <w:pStyle w:val="20"/>
              <w:ind w:left="139"/>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nil"/>
              <w:right w:val="single" w:color="000000" w:sz="4" w:space="0"/>
            </w:tcBorders>
            <w:noWrap w:val="0"/>
            <w:vAlign w:val="top"/>
          </w:tcPr>
          <w:p>
            <w:pPr>
              <w:pStyle w:val="20"/>
              <w:spacing w:before="8" w:line="19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spacing w:line="200" w:lineRule="exact"/>
              <w:rPr>
                <w:rFonts w:ascii="宋体" w:hAnsi="宋体" w:eastAsia="宋体" w:cs="宋体"/>
                <w:kern w:val="2"/>
                <w:sz w:val="24"/>
                <w:szCs w:val="24"/>
              </w:rPr>
            </w:pPr>
          </w:p>
          <w:p>
            <w:pPr>
              <w:pStyle w:val="20"/>
              <w:ind w:left="103"/>
              <w:rPr>
                <w:rFonts w:ascii="宋体" w:hAnsi="宋体" w:eastAsia="宋体" w:cs="宋体"/>
                <w:kern w:val="2"/>
                <w:sz w:val="24"/>
                <w:szCs w:val="24"/>
              </w:rPr>
            </w:pPr>
            <w:r>
              <w:rPr>
                <w:rFonts w:hint="eastAsia" w:ascii="宋体" w:hAnsi="宋体" w:eastAsia="宋体" w:cs="宋体"/>
                <w:kern w:val="2"/>
                <w:sz w:val="24"/>
                <w:szCs w:val="24"/>
              </w:rPr>
              <w:t>加盖单位公章。</w:t>
            </w:r>
          </w:p>
        </w:tc>
        <w:tc>
          <w:tcPr>
            <w:tcW w:w="619" w:type="dxa"/>
            <w:tcBorders>
              <w:top w:val="single" w:color="000000" w:sz="4" w:space="0"/>
              <w:left w:val="single" w:color="000000" w:sz="4" w:space="0"/>
              <w:bottom w:val="nil"/>
              <w:right w:val="single" w:color="000000" w:sz="4" w:space="0"/>
            </w:tcBorders>
            <w:noWrap w:val="0"/>
            <w:vAlign w:val="top"/>
          </w:tcPr>
          <w:p>
            <w:pPr>
              <w:pStyle w:val="20"/>
              <w:jc w:val="center"/>
              <w:rPr>
                <w:rFonts w:ascii="宋体" w:hAnsi="宋体" w:eastAsia="宋体" w:cs="宋体"/>
                <w:kern w:val="2"/>
                <w:sz w:val="24"/>
                <w:szCs w:val="24"/>
              </w:rPr>
            </w:pPr>
          </w:p>
          <w:p>
            <w:pPr>
              <w:pStyle w:val="20"/>
              <w:jc w:val="center"/>
              <w:rPr>
                <w:rFonts w:ascii="宋体" w:hAnsi="宋体" w:eastAsia="宋体" w:cs="宋体"/>
                <w:kern w:val="2"/>
                <w:sz w:val="24"/>
                <w:szCs w:val="24"/>
              </w:rPr>
            </w:pPr>
          </w:p>
          <w:p>
            <w:pPr>
              <w:pStyle w:val="20"/>
              <w:ind w:left="105" w:right="100"/>
              <w:jc w:val="center"/>
              <w:rPr>
                <w:rFonts w:ascii="宋体" w:hAnsi="宋体" w:eastAsia="宋体" w:cs="宋体"/>
                <w:kern w:val="2"/>
                <w:sz w:val="24"/>
                <w:szCs w:val="24"/>
              </w:rPr>
            </w:pPr>
          </w:p>
        </w:tc>
      </w:tr>
      <w:tr>
        <w:tblPrEx>
          <w:tblCellMar>
            <w:top w:w="0" w:type="dxa"/>
            <w:left w:w="0" w:type="dxa"/>
            <w:bottom w:w="0" w:type="dxa"/>
            <w:right w:w="0" w:type="dxa"/>
          </w:tblCellMar>
        </w:tblPrEx>
        <w:trPr>
          <w:trHeight w:val="1793" w:hRule="exact"/>
        </w:trPr>
        <w:tc>
          <w:tcPr>
            <w:tcW w:w="480" w:type="dxa"/>
            <w:tcBorders>
              <w:top w:val="single" w:color="000000" w:sz="4" w:space="0"/>
              <w:left w:val="single" w:color="000000" w:sz="4" w:space="0"/>
              <w:bottom w:val="single" w:color="auto" w:sz="4" w:space="0"/>
              <w:right w:val="single" w:color="000000" w:sz="4" w:space="0"/>
            </w:tcBorders>
            <w:noWrap w:val="0"/>
            <w:vAlign w:val="top"/>
          </w:tcPr>
          <w:p>
            <w:pPr>
              <w:pStyle w:val="20"/>
              <w:spacing w:line="200" w:lineRule="exact"/>
              <w:rPr>
                <w:rFonts w:ascii="宋体" w:hAnsi="宋体" w:eastAsia="宋体" w:cs="宋体"/>
                <w:kern w:val="2"/>
                <w:sz w:val="24"/>
                <w:szCs w:val="24"/>
              </w:rPr>
            </w:pPr>
          </w:p>
          <w:p>
            <w:pPr>
              <w:pStyle w:val="20"/>
              <w:spacing w:before="6" w:line="280" w:lineRule="exact"/>
              <w:rPr>
                <w:rFonts w:ascii="宋体" w:hAnsi="宋体" w:eastAsia="宋体" w:cs="宋体"/>
                <w:kern w:val="2"/>
                <w:sz w:val="24"/>
                <w:szCs w:val="24"/>
              </w:rPr>
            </w:pPr>
          </w:p>
          <w:p>
            <w:pPr>
              <w:pStyle w:val="20"/>
              <w:ind w:left="130" w:right="130"/>
              <w:jc w:val="center"/>
              <w:rPr>
                <w:rFonts w:ascii="宋体" w:hAnsi="宋体" w:eastAsia="宋体" w:cs="宋体"/>
                <w:kern w:val="2"/>
                <w:sz w:val="24"/>
                <w:szCs w:val="24"/>
              </w:rPr>
            </w:pPr>
            <w:r>
              <w:rPr>
                <w:rFonts w:hint="eastAsia" w:ascii="宋体" w:hAnsi="宋体" w:eastAsia="宋体" w:cs="宋体"/>
                <w:w w:val="90"/>
                <w:kern w:val="2"/>
                <w:sz w:val="24"/>
                <w:szCs w:val="24"/>
              </w:rPr>
              <w:t>6</w:t>
            </w:r>
          </w:p>
        </w:tc>
        <w:tc>
          <w:tcPr>
            <w:tcW w:w="1731" w:type="dxa"/>
            <w:tcBorders>
              <w:top w:val="single" w:color="000000" w:sz="4" w:space="0"/>
              <w:left w:val="single" w:color="000000" w:sz="4" w:space="0"/>
              <w:bottom w:val="single" w:color="auto" w:sz="4" w:space="0"/>
              <w:right w:val="single" w:color="000000" w:sz="4" w:space="0"/>
            </w:tcBorders>
            <w:noWrap w:val="0"/>
            <w:vAlign w:val="top"/>
          </w:tcPr>
          <w:p>
            <w:pPr>
              <w:pStyle w:val="20"/>
              <w:spacing w:line="312" w:lineRule="exact"/>
              <w:rPr>
                <w:rFonts w:ascii="宋体" w:hAnsi="宋体" w:eastAsia="宋体" w:cs="宋体"/>
                <w:kern w:val="2"/>
                <w:sz w:val="24"/>
                <w:szCs w:val="24"/>
                <w:lang w:eastAsia="zh-CN"/>
              </w:rPr>
            </w:pPr>
            <w:r>
              <w:rPr>
                <w:rFonts w:hint="eastAsia" w:ascii="宋体" w:hAnsi="宋体" w:eastAsia="宋体" w:cs="宋体"/>
                <w:kern w:val="2"/>
                <w:sz w:val="24"/>
                <w:szCs w:val="24"/>
                <w:lang w:eastAsia="zh-CN"/>
              </w:rPr>
              <w:t>申请年度前两个年度资金支付结算方面百万元以上案件发生及查处情况说明</w:t>
            </w:r>
          </w:p>
        </w:tc>
        <w:tc>
          <w:tcPr>
            <w:tcW w:w="930" w:type="dxa"/>
            <w:tcBorders>
              <w:top w:val="single" w:color="000000" w:sz="4" w:space="0"/>
              <w:left w:val="single" w:color="000000" w:sz="4" w:space="0"/>
              <w:bottom w:val="single" w:color="auto" w:sz="4" w:space="0"/>
              <w:right w:val="single" w:color="000000" w:sz="4" w:space="0"/>
            </w:tcBorders>
            <w:noWrap w:val="0"/>
            <w:vAlign w:val="center"/>
          </w:tcPr>
          <w:p>
            <w:pPr>
              <w:pStyle w:val="20"/>
              <w:ind w:left="139"/>
              <w:jc w:val="both"/>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原件</w:t>
            </w:r>
          </w:p>
        </w:tc>
        <w:tc>
          <w:tcPr>
            <w:tcW w:w="450" w:type="dxa"/>
            <w:tcBorders>
              <w:top w:val="single" w:color="000000" w:sz="4" w:space="0"/>
              <w:left w:val="single" w:color="000000" w:sz="4" w:space="0"/>
              <w:bottom w:val="single" w:color="auto" w:sz="4" w:space="0"/>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single" w:color="auto" w:sz="4" w:space="0"/>
              <w:right w:val="single" w:color="000000" w:sz="4" w:space="0"/>
            </w:tcBorders>
            <w:noWrap w:val="0"/>
            <w:vAlign w:val="center"/>
          </w:tcPr>
          <w:p>
            <w:pPr>
              <w:pStyle w:val="20"/>
              <w:ind w:left="139"/>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single" w:color="auto" w:sz="4" w:space="0"/>
              <w:right w:val="single" w:color="000000" w:sz="4" w:space="0"/>
            </w:tcBorders>
            <w:noWrap w:val="0"/>
            <w:vAlign w:val="top"/>
          </w:tcPr>
          <w:p>
            <w:pPr>
              <w:pStyle w:val="20"/>
              <w:spacing w:line="200" w:lineRule="exact"/>
              <w:rPr>
                <w:rFonts w:ascii="宋体" w:hAnsi="宋体" w:eastAsia="宋体" w:cs="宋体"/>
                <w:kern w:val="2"/>
                <w:sz w:val="24"/>
                <w:szCs w:val="24"/>
              </w:rPr>
            </w:pPr>
          </w:p>
          <w:p>
            <w:pPr>
              <w:pStyle w:val="20"/>
              <w:spacing w:before="6" w:line="280" w:lineRule="exact"/>
              <w:rPr>
                <w:rFonts w:ascii="宋体" w:hAnsi="宋体" w:eastAsia="宋体" w:cs="宋体"/>
                <w:kern w:val="2"/>
                <w:sz w:val="24"/>
                <w:szCs w:val="24"/>
                <w:lang w:eastAsia="zh-CN"/>
              </w:rPr>
            </w:pPr>
          </w:p>
          <w:p>
            <w:pPr>
              <w:pStyle w:val="20"/>
              <w:spacing w:before="6" w:line="280" w:lineRule="exact"/>
              <w:rPr>
                <w:rFonts w:ascii="宋体" w:hAnsi="宋体" w:eastAsia="宋体" w:cs="宋体"/>
                <w:kern w:val="2"/>
                <w:sz w:val="24"/>
                <w:szCs w:val="24"/>
                <w:lang w:eastAsia="zh-CN"/>
              </w:rPr>
            </w:pPr>
          </w:p>
          <w:p>
            <w:pPr>
              <w:pStyle w:val="20"/>
              <w:ind w:left="103"/>
              <w:rPr>
                <w:rFonts w:ascii="宋体" w:hAnsi="宋体" w:eastAsia="宋体" w:cs="宋体"/>
                <w:kern w:val="2"/>
                <w:sz w:val="24"/>
                <w:szCs w:val="24"/>
              </w:rPr>
            </w:pPr>
            <w:r>
              <w:rPr>
                <w:rFonts w:hint="eastAsia" w:ascii="宋体" w:hAnsi="宋体" w:eastAsia="宋体" w:cs="宋体"/>
                <w:kern w:val="2"/>
                <w:sz w:val="24"/>
                <w:szCs w:val="24"/>
              </w:rPr>
              <w:t>加盖单位公章。</w:t>
            </w:r>
          </w:p>
        </w:tc>
        <w:tc>
          <w:tcPr>
            <w:tcW w:w="619" w:type="dxa"/>
            <w:tcBorders>
              <w:top w:val="single" w:color="000000" w:sz="4" w:space="0"/>
              <w:left w:val="single" w:color="000000" w:sz="4" w:space="0"/>
              <w:bottom w:val="single" w:color="auto" w:sz="4" w:space="0"/>
              <w:right w:val="single" w:color="000000" w:sz="4" w:space="0"/>
            </w:tcBorders>
            <w:noWrap w:val="0"/>
            <w:vAlign w:val="top"/>
          </w:tcPr>
          <w:p>
            <w:pPr>
              <w:pStyle w:val="20"/>
              <w:jc w:val="center"/>
              <w:rPr>
                <w:rFonts w:ascii="宋体" w:hAnsi="宋体" w:eastAsia="宋体" w:cs="宋体"/>
                <w:kern w:val="2"/>
                <w:sz w:val="24"/>
                <w:szCs w:val="24"/>
              </w:rPr>
            </w:pPr>
          </w:p>
          <w:p>
            <w:pPr>
              <w:pStyle w:val="20"/>
              <w:spacing w:before="7"/>
              <w:jc w:val="center"/>
              <w:rPr>
                <w:rFonts w:ascii="宋体" w:hAnsi="宋体" w:eastAsia="宋体" w:cs="宋体"/>
                <w:kern w:val="2"/>
                <w:sz w:val="24"/>
                <w:szCs w:val="24"/>
              </w:rPr>
            </w:pPr>
          </w:p>
          <w:p>
            <w:pPr>
              <w:pStyle w:val="20"/>
              <w:ind w:left="105" w:right="103"/>
              <w:jc w:val="center"/>
              <w:rPr>
                <w:rFonts w:ascii="宋体" w:hAnsi="宋体" w:eastAsia="宋体" w:cs="宋体"/>
                <w:kern w:val="2"/>
                <w:sz w:val="24"/>
                <w:szCs w:val="24"/>
              </w:rPr>
            </w:pPr>
          </w:p>
        </w:tc>
      </w:tr>
      <w:tr>
        <w:tblPrEx>
          <w:tblCellMar>
            <w:top w:w="0" w:type="dxa"/>
            <w:left w:w="0" w:type="dxa"/>
            <w:bottom w:w="0" w:type="dxa"/>
            <w:right w:w="0" w:type="dxa"/>
          </w:tblCellMar>
        </w:tblPrEx>
        <w:trPr>
          <w:trHeight w:val="1286" w:hRule="exact"/>
        </w:trPr>
        <w:tc>
          <w:tcPr>
            <w:tcW w:w="480" w:type="dxa"/>
            <w:tcBorders>
              <w:top w:val="single" w:color="auto" w:sz="4" w:space="0"/>
              <w:left w:val="single" w:color="000000" w:sz="4" w:space="0"/>
              <w:bottom w:val="single" w:color="000000" w:sz="4" w:space="0"/>
              <w:right w:val="single" w:color="000000" w:sz="4" w:space="0"/>
            </w:tcBorders>
            <w:noWrap w:val="0"/>
            <w:vAlign w:val="top"/>
          </w:tcPr>
          <w:p>
            <w:pPr>
              <w:pStyle w:val="20"/>
              <w:spacing w:before="4" w:line="170" w:lineRule="exact"/>
              <w:rPr>
                <w:rFonts w:ascii="宋体" w:hAnsi="宋体" w:eastAsia="宋体" w:cs="宋体"/>
                <w:kern w:val="2"/>
                <w:sz w:val="24"/>
                <w:szCs w:val="24"/>
              </w:rPr>
            </w:pPr>
          </w:p>
          <w:p>
            <w:pPr>
              <w:pStyle w:val="20"/>
              <w:ind w:left="130" w:right="130"/>
              <w:jc w:val="center"/>
              <w:rPr>
                <w:rFonts w:ascii="宋体" w:hAnsi="宋体" w:eastAsia="宋体" w:cs="宋体"/>
                <w:kern w:val="2"/>
                <w:sz w:val="24"/>
                <w:szCs w:val="24"/>
              </w:rPr>
            </w:pPr>
            <w:r>
              <w:rPr>
                <w:rFonts w:hint="eastAsia" w:ascii="宋体" w:hAnsi="宋体" w:eastAsia="宋体" w:cs="宋体"/>
                <w:w w:val="90"/>
                <w:kern w:val="2"/>
                <w:sz w:val="24"/>
                <w:szCs w:val="24"/>
              </w:rPr>
              <w:t>7</w:t>
            </w:r>
          </w:p>
        </w:tc>
        <w:tc>
          <w:tcPr>
            <w:tcW w:w="1731" w:type="dxa"/>
            <w:tcBorders>
              <w:top w:val="single" w:color="auto" w:sz="4" w:space="0"/>
              <w:left w:val="single" w:color="000000" w:sz="4" w:space="0"/>
              <w:bottom w:val="single" w:color="000000" w:sz="4" w:space="0"/>
              <w:right w:val="single" w:color="000000" w:sz="4" w:space="0"/>
            </w:tcBorders>
            <w:noWrap w:val="0"/>
            <w:vAlign w:val="top"/>
          </w:tcPr>
          <w:p>
            <w:pPr>
              <w:pStyle w:val="20"/>
              <w:spacing w:line="312" w:lineRule="exact"/>
              <w:ind w:left="103"/>
              <w:rPr>
                <w:rFonts w:ascii="宋体" w:hAnsi="宋体" w:eastAsia="宋体" w:cs="宋体"/>
                <w:kern w:val="2"/>
                <w:sz w:val="24"/>
                <w:szCs w:val="24"/>
                <w:lang w:eastAsia="zh-CN"/>
              </w:rPr>
            </w:pPr>
            <w:r>
              <w:rPr>
                <w:rFonts w:hint="eastAsia" w:ascii="宋体" w:hAnsi="宋体" w:eastAsia="宋体" w:cs="宋体"/>
                <w:kern w:val="2"/>
                <w:sz w:val="24"/>
                <w:szCs w:val="24"/>
                <w:lang w:val="zh-CN" w:eastAsia="zh-CN"/>
              </w:rPr>
              <w:t>中国人民银行青岛市分行</w:t>
            </w:r>
            <w:r>
              <w:rPr>
                <w:rFonts w:hint="eastAsia" w:ascii="宋体" w:hAnsi="宋体" w:eastAsia="宋体" w:cs="宋体"/>
                <w:kern w:val="2"/>
                <w:sz w:val="24"/>
                <w:szCs w:val="24"/>
                <w:lang w:eastAsia="zh-CN"/>
              </w:rPr>
              <w:t>要求提供的其他材料</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center"/>
              <w:rPr>
                <w:rFonts w:hint="eastAsia" w:ascii="宋体" w:hAnsi="宋体" w:eastAsia="宋体" w:cs="宋体"/>
                <w:kern w:val="2"/>
                <w:sz w:val="24"/>
                <w:szCs w:val="24"/>
              </w:rPr>
            </w:pPr>
          </w:p>
        </w:tc>
        <w:tc>
          <w:tcPr>
            <w:tcW w:w="45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center"/>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pStyle w:val="20"/>
              <w:ind w:left="139"/>
              <w:jc w:val="center"/>
              <w:rPr>
                <w:rFonts w:ascii="宋体" w:hAnsi="宋体" w:eastAsia="宋体" w:cs="宋体"/>
                <w:kern w:val="2"/>
                <w:sz w:val="24"/>
                <w:szCs w:val="24"/>
              </w:rPr>
            </w:pPr>
            <w:r>
              <w:rPr>
                <w:rFonts w:hint="eastAsia" w:ascii="宋体" w:hAnsi="宋体" w:eastAsia="宋体" w:cs="宋体"/>
                <w:kern w:val="2"/>
                <w:sz w:val="24"/>
                <w:szCs w:val="24"/>
              </w:rPr>
              <w:t>纸质</w:t>
            </w:r>
          </w:p>
        </w:tc>
        <w:tc>
          <w:tcPr>
            <w:tcW w:w="3795" w:type="dxa"/>
            <w:tcBorders>
              <w:top w:val="single" w:color="000000" w:sz="4" w:space="0"/>
              <w:left w:val="single" w:color="000000" w:sz="4" w:space="0"/>
              <w:bottom w:val="single" w:color="000000" w:sz="4" w:space="0"/>
              <w:right w:val="single" w:color="000000" w:sz="4" w:space="0"/>
            </w:tcBorders>
            <w:noWrap w:val="0"/>
            <w:vAlign w:val="top"/>
          </w:tcPr>
          <w:p>
            <w:pPr>
              <w:pStyle w:val="20"/>
              <w:spacing w:before="4" w:line="170" w:lineRule="exact"/>
              <w:rPr>
                <w:rFonts w:ascii="宋体" w:hAnsi="宋体" w:eastAsia="宋体" w:cs="宋体"/>
                <w:kern w:val="2"/>
                <w:sz w:val="24"/>
                <w:szCs w:val="24"/>
              </w:rPr>
            </w:pPr>
          </w:p>
          <w:p>
            <w:pPr>
              <w:pStyle w:val="20"/>
              <w:ind w:left="105"/>
              <w:rPr>
                <w:rFonts w:ascii="宋体" w:hAnsi="宋体" w:eastAsia="宋体" w:cs="宋体"/>
                <w:kern w:val="2"/>
                <w:sz w:val="24"/>
                <w:szCs w:val="24"/>
              </w:rPr>
            </w:pPr>
          </w:p>
          <w:p>
            <w:pPr>
              <w:pStyle w:val="20"/>
              <w:rPr>
                <w:rFonts w:ascii="宋体" w:hAnsi="宋体" w:eastAsia="宋体" w:cs="宋体"/>
                <w:kern w:val="2"/>
                <w:sz w:val="24"/>
                <w:szCs w:val="24"/>
              </w:rPr>
            </w:pPr>
            <w:r>
              <w:rPr>
                <w:rFonts w:hint="eastAsia" w:ascii="宋体" w:hAnsi="宋体" w:eastAsia="宋体" w:cs="宋体"/>
                <w:kern w:val="2"/>
                <w:sz w:val="24"/>
                <w:szCs w:val="24"/>
              </w:rPr>
              <w:t>加盖单位公章。</w:t>
            </w:r>
          </w:p>
        </w:tc>
        <w:tc>
          <w:tcPr>
            <w:tcW w:w="619" w:type="dxa"/>
            <w:tcBorders>
              <w:top w:val="single" w:color="000000" w:sz="4" w:space="0"/>
              <w:left w:val="single" w:color="000000" w:sz="4" w:space="0"/>
              <w:bottom w:val="single" w:color="000000" w:sz="4" w:space="0"/>
              <w:right w:val="single" w:color="000000" w:sz="4" w:space="0"/>
            </w:tcBorders>
            <w:noWrap w:val="0"/>
            <w:vAlign w:val="top"/>
          </w:tcPr>
          <w:p>
            <w:pPr>
              <w:rPr>
                <w:rFonts w:ascii="宋体" w:hAnsi="宋体" w:cs="宋体"/>
                <w:sz w:val="24"/>
                <w:szCs w:val="24"/>
                <w:lang w:eastAsia="en-US"/>
              </w:rPr>
            </w:pPr>
          </w:p>
        </w:tc>
      </w:tr>
    </w:tbl>
    <w:tbl>
      <w:tblPr>
        <w:tblStyle w:val="16"/>
        <w:tblpPr w:leftFromText="180" w:rightFromText="180" w:vertAnchor="text" w:tblpX="12279" w:tblpY="-54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55" w:type="dxa"/>
            <w:tcBorders>
              <w:top w:val="single" w:color="auto" w:sz="4" w:space="0"/>
              <w:left w:val="single" w:color="auto" w:sz="4" w:space="0"/>
              <w:bottom w:val="single" w:color="auto" w:sz="4" w:space="0"/>
              <w:right w:val="single" w:color="auto" w:sz="4" w:space="0"/>
            </w:tcBorders>
            <w:noWrap w:val="0"/>
            <w:vAlign w:val="top"/>
          </w:tcPr>
          <w:p>
            <w:pPr>
              <w:pStyle w:val="4"/>
              <w:spacing w:line="560" w:lineRule="exact"/>
              <w:rPr>
                <w:rFonts w:ascii="仿宋_GB2312" w:hAnsi="仿宋_GB2312" w:eastAsia="仿宋_GB2312" w:cs="仿宋_GB2312"/>
                <w:kern w:val="2"/>
                <w:sz w:val="28"/>
                <w:szCs w:val="28"/>
                <w:lang w:eastAsia="zh-CN"/>
              </w:rPr>
            </w:pPr>
          </w:p>
        </w:tc>
      </w:tr>
    </w:tbl>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lang w:eastAsia="zh-CN"/>
        </w:rPr>
        <w:t>申请人应在指定受理时限内向</w:t>
      </w:r>
      <w:r>
        <w:rPr>
          <w:rFonts w:hint="eastAsia" w:ascii="仿宋_GB2312" w:hAnsi="仿宋_GB2312" w:eastAsia="仿宋_GB2312" w:cs="仿宋_GB2312"/>
          <w:color w:val="000000"/>
          <w:sz w:val="32"/>
          <w:szCs w:val="32"/>
          <w:lang w:val="zh-CN" w:eastAsia="zh-CN"/>
        </w:rPr>
        <w:t>中国人民银行青岛市分行提交上述纸质申请材料。</w:t>
      </w:r>
      <w:r>
        <w:rPr>
          <w:rFonts w:hint="eastAsia" w:ascii="仿宋_GB2312" w:hAnsi="仿宋_GB2312" w:eastAsia="仿宋_GB2312" w:cs="仿宋_GB2312"/>
          <w:color w:val="000000"/>
          <w:sz w:val="32"/>
          <w:szCs w:val="32"/>
          <w:lang w:eastAsia="zh-CN"/>
        </w:rPr>
        <w:t>申请人提交申请时，应当出示机构统一社会信用代码证或企业法人营业执照原件，以及法定代表人（或者主要负责人）身份证明文件。申请人委托代理人提交申请材料的，还应出示申请人、代理人身份证明文件，并提交授权委托书。授权委托书应当载明授权委托事项、授</w:t>
      </w:r>
      <w:r>
        <w:rPr>
          <w:rFonts w:hint="eastAsia" w:ascii="仿宋_GB2312" w:hAnsi="仿宋_GB2312" w:eastAsia="仿宋_GB2312" w:cs="仿宋_GB2312"/>
          <w:color w:val="auto"/>
          <w:sz w:val="32"/>
          <w:szCs w:val="32"/>
          <w:lang w:eastAsia="zh-CN"/>
        </w:rPr>
        <w:t>权范围和授权期限，并由申请人签字或盖章。</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其中，《金融许可证》、《企业法人营业执照》和金融监管部门、政府审计部门、会计师事务所作出的最新监管报告、审计报告，实行告知承诺制，申请人可自主选择是否采用告知承诺方式办理。申请人选择告知承诺方式办理的，中国人民银行青岛市分行应出具《</w:t>
      </w:r>
      <w:r>
        <w:rPr>
          <w:rFonts w:hint="eastAsia" w:ascii="仿宋_GB2312" w:hAnsi="仿宋_GB2312" w:eastAsia="仿宋_GB2312" w:cs="仿宋_GB2312"/>
          <w:color w:val="auto"/>
          <w:sz w:val="32"/>
          <w:szCs w:val="32"/>
          <w:lang w:eastAsia="zh-CN"/>
        </w:rPr>
        <w:t>告知书</w:t>
      </w:r>
      <w:r>
        <w:rPr>
          <w:rFonts w:hint="eastAsia" w:ascii="仿宋_GB2312" w:hAnsi="仿宋_GB2312" w:eastAsia="仿宋_GB2312" w:cs="仿宋_GB2312"/>
          <w:color w:val="auto"/>
          <w:sz w:val="32"/>
          <w:szCs w:val="32"/>
          <w:lang w:val="zh-CN" w:eastAsia="zh-CN"/>
        </w:rPr>
        <w:t>》明确申请人承诺各事项，申请人依据要求提交《</w:t>
      </w:r>
      <w:r>
        <w:rPr>
          <w:rFonts w:hint="eastAsia" w:ascii="仿宋_GB2312" w:hAnsi="仿宋_GB2312" w:eastAsia="仿宋_GB2312" w:cs="仿宋_GB2312"/>
          <w:color w:val="auto"/>
          <w:sz w:val="32"/>
          <w:szCs w:val="32"/>
          <w:lang w:eastAsia="zh-CN"/>
        </w:rPr>
        <w:t>承诺书</w:t>
      </w:r>
      <w:r>
        <w:rPr>
          <w:rFonts w:hint="eastAsia" w:ascii="仿宋_GB2312" w:hAnsi="仿宋_GB2312" w:eastAsia="仿宋_GB2312" w:cs="仿宋_GB2312"/>
          <w:color w:val="auto"/>
          <w:sz w:val="32"/>
          <w:szCs w:val="32"/>
          <w:lang w:val="zh-CN" w:eastAsia="zh-CN"/>
        </w:rPr>
        <w:t>》就《告知书》内容逐一承诺；申请人不愿承诺或者无法承诺的，应当依法提交相关证明，按照原程序办理；申请人具有较严重不良信用记录或者存在曾作出虚假承诺等情形的，在信用修复前不适用告知承诺制。</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收费标准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不收费</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办结时限</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青岛市分行自受理申请材料之日起15个工作日内作出不予或准予行政许可决定。在规定期限内不能作出审批决定的，经本分行行长或者主管副行长批准，可以延长10个工作日，同时将延长期限理由告知申请人。</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十</w:t>
      </w:r>
      <w:r>
        <w:rPr>
          <w:rFonts w:hint="eastAsia" w:ascii="黑体" w:hAnsi="黑体" w:eastAsia="黑体" w:cs="黑体"/>
          <w:color w:val="000000"/>
          <w:sz w:val="32"/>
          <w:szCs w:val="32"/>
        </w:rPr>
        <w:t>、咨询</w:t>
      </w:r>
      <w:r>
        <w:rPr>
          <w:rFonts w:hint="eastAsia" w:ascii="黑体" w:hAnsi="黑体" w:eastAsia="黑体" w:cs="黑体"/>
          <w:color w:val="000000"/>
          <w:sz w:val="32"/>
          <w:szCs w:val="32"/>
          <w:lang w:eastAsia="zh-CN"/>
        </w:rPr>
        <w:t>渠道</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44"/>
          <w:szCs w:val="44"/>
          <w:lang w:eastAsia="zh-CN"/>
        </w:rPr>
      </w:pPr>
      <w:r>
        <w:rPr>
          <w:rFonts w:hint="eastAsia" w:ascii="仿宋_GB2312" w:hAnsi="仿宋_GB2312" w:eastAsia="仿宋_GB2312" w:cs="仿宋_GB2312"/>
          <w:sz w:val="32"/>
          <w:szCs w:val="32"/>
          <w:lang w:val="en-US" w:eastAsia="zh-CN"/>
        </w:rPr>
        <w:t>0532-80896931</w:t>
      </w:r>
    </w:p>
    <w:p>
      <w:pPr>
        <w:widowControl w:val="0"/>
        <w:wordWrap/>
        <w:adjustRightInd/>
        <w:snapToGrid/>
        <w:spacing w:line="560" w:lineRule="exact"/>
        <w:ind w:left="0" w:leftChars="0" w:right="0" w:firstLine="0" w:firstLineChars="0"/>
        <w:jc w:val="center"/>
        <w:textAlignment w:val="auto"/>
        <w:outlineLvl w:val="0"/>
        <w:rPr>
          <w:rStyle w:val="19"/>
          <w:rFonts w:hint="eastAsia"/>
          <w:lang w:val="en-US" w:eastAsia="zh-CN"/>
        </w:rPr>
      </w:pPr>
      <w:r>
        <w:rPr>
          <w:rFonts w:hint="eastAsia" w:ascii="黑体" w:hAnsi="黑体" w:eastAsia="黑体" w:cs="黑体"/>
          <w:color w:val="000000"/>
          <w:sz w:val="44"/>
          <w:szCs w:val="44"/>
          <w:lang w:eastAsia="zh-CN"/>
        </w:rPr>
        <w:br w:type="page"/>
      </w:r>
      <w:bookmarkStart w:id="6" w:name="_Toc22287"/>
      <w:r>
        <w:rPr>
          <w:rStyle w:val="19"/>
          <w:rFonts w:hint="eastAsia"/>
          <w:lang w:val="en-US" w:eastAsia="zh-CN"/>
        </w:rPr>
        <w:t>非银行支付机构许可（受理、初审）办事指南</w:t>
      </w:r>
      <w:bookmarkEnd w:id="6"/>
    </w:p>
    <w:p>
      <w:pPr>
        <w:pStyle w:val="2"/>
        <w:wordWrap/>
        <w:adjustRightInd/>
        <w:snapToGrid/>
        <w:spacing w:line="560" w:lineRule="exact"/>
        <w:textAlignment w:val="auto"/>
        <w:rPr>
          <w:rFonts w:hint="eastAsia"/>
          <w:lang w:val="en-US" w:eastAsia="zh-CN"/>
        </w:rPr>
      </w:pP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一、事项名称</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非银行支付机构许可（受理、初审）</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二、事项类别</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行政许可事项</w:t>
      </w:r>
      <w:r>
        <w:rPr>
          <w:rFonts w:hint="eastAsia" w:ascii="仿宋_GB2312" w:hAnsi="仿宋_GB2312" w:eastAsia="仿宋_GB2312" w:cs="仿宋_GB2312"/>
          <w:sz w:val="32"/>
          <w:szCs w:val="32"/>
          <w:lang w:eastAsia="zh-CN"/>
        </w:rPr>
        <w:t>（受理、初审）</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三、办理依据</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《中华人民共和国中国人民银行法》、《非银行支付机构监督管理条例》（中华人民共和国国务院令第</w:t>
      </w:r>
      <w:r>
        <w:rPr>
          <w:rFonts w:hint="eastAsia" w:ascii="仿宋_GB2312" w:hAnsi="仿宋_GB2312" w:eastAsia="仿宋_GB2312" w:cs="仿宋_GB2312"/>
          <w:sz w:val="32"/>
          <w:szCs w:val="32"/>
          <w:shd w:val="clear" w:color="auto" w:fill="FFFFFF"/>
          <w:lang w:val="en-US" w:eastAsia="zh-CN"/>
        </w:rPr>
        <w:t>768号</w:t>
      </w:r>
      <w:r>
        <w:rPr>
          <w:rFonts w:hint="eastAsia" w:ascii="仿宋_GB2312" w:hAnsi="仿宋_GB2312" w:eastAsia="仿宋_GB2312" w:cs="仿宋_GB2312"/>
          <w:sz w:val="32"/>
          <w:szCs w:val="32"/>
          <w:shd w:val="clear" w:color="auto" w:fill="FFFFFF"/>
          <w:lang w:eastAsia="zh-CN"/>
        </w:rPr>
        <w:t>）、《非银行支付机构监督管理条例实施细则》（中国人民银行令〔20</w:t>
      </w:r>
      <w:r>
        <w:rPr>
          <w:rFonts w:hint="eastAsia" w:ascii="仿宋_GB2312" w:hAnsi="仿宋_GB2312" w:eastAsia="仿宋_GB2312" w:cs="仿宋_GB2312"/>
          <w:sz w:val="32"/>
          <w:szCs w:val="32"/>
          <w:shd w:val="clear" w:color="auto" w:fill="FFFFFF"/>
          <w:lang w:val="en-US" w:eastAsia="zh-CN"/>
        </w:rPr>
        <w:t>24</w:t>
      </w:r>
      <w:r>
        <w:rPr>
          <w:rFonts w:hint="eastAsia" w:ascii="仿宋_GB2312" w:hAnsi="仿宋_GB2312" w:eastAsia="仿宋_GB2312" w:cs="仿宋_GB2312"/>
          <w:sz w:val="32"/>
          <w:szCs w:val="32"/>
          <w:shd w:val="clear" w:color="auto" w:fill="FFFFFF"/>
          <w:lang w:eastAsia="zh-CN"/>
        </w:rPr>
        <w:t>〕第</w:t>
      </w:r>
      <w:r>
        <w:rPr>
          <w:rFonts w:hint="eastAsia" w:ascii="仿宋_GB2312" w:hAnsi="仿宋_GB2312" w:eastAsia="仿宋_GB2312" w:cs="仿宋_GB2312"/>
          <w:sz w:val="32"/>
          <w:szCs w:val="32"/>
          <w:shd w:val="clear" w:color="auto" w:fill="FFFFFF"/>
          <w:lang w:val="en-US" w:eastAsia="zh-CN"/>
        </w:rPr>
        <w:t>4</w:t>
      </w:r>
      <w:r>
        <w:rPr>
          <w:rFonts w:hint="eastAsia" w:ascii="仿宋_GB2312" w:hAnsi="仿宋_GB2312" w:eastAsia="仿宋_GB2312" w:cs="仿宋_GB2312"/>
          <w:sz w:val="32"/>
          <w:szCs w:val="32"/>
          <w:shd w:val="clear" w:color="auto" w:fill="FFFFFF"/>
          <w:lang w:eastAsia="zh-CN"/>
        </w:rPr>
        <w:t>号发布）</w:t>
      </w:r>
    </w:p>
    <w:p>
      <w:pPr>
        <w:wordWrap/>
        <w:adjustRightInd/>
        <w:snapToGrid/>
        <w:spacing w:line="560" w:lineRule="exact"/>
        <w:ind w:left="0" w:leftChars="0" w:firstLine="640" w:firstLineChars="200"/>
        <w:jc w:val="both"/>
        <w:textAlignment w:val="auto"/>
        <w:outlineLvl w:val="9"/>
        <w:rPr>
          <w:rFonts w:hint="eastAsia" w:ascii="黑体" w:hAnsi="华文中宋" w:eastAsia="黑体"/>
          <w:sz w:val="32"/>
          <w:szCs w:val="32"/>
        </w:rPr>
      </w:pPr>
      <w:r>
        <w:rPr>
          <w:rFonts w:hint="eastAsia" w:ascii="黑体" w:hAnsi="华文中宋" w:eastAsia="黑体"/>
          <w:sz w:val="32"/>
          <w:szCs w:val="32"/>
        </w:rPr>
        <w:t>四、受理部门</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中国人民银行青岛市</w:t>
      </w:r>
      <w:r>
        <w:rPr>
          <w:rFonts w:hint="eastAsia" w:ascii="仿宋_GB2312" w:hAnsi="仿宋_GB2312" w:eastAsia="仿宋_GB2312" w:cs="仿宋_GB2312"/>
          <w:sz w:val="32"/>
          <w:szCs w:val="32"/>
          <w:lang w:eastAsia="zh-CN"/>
        </w:rPr>
        <w:t>分</w:t>
      </w:r>
      <w:r>
        <w:rPr>
          <w:rFonts w:hint="eastAsia" w:ascii="仿宋_GB2312" w:hAnsi="仿宋_GB2312" w:eastAsia="仿宋_GB2312" w:cs="仿宋_GB2312"/>
          <w:sz w:val="32"/>
          <w:szCs w:val="32"/>
        </w:rPr>
        <w:t>行</w:t>
      </w:r>
      <w:r>
        <w:rPr>
          <w:rFonts w:hint="eastAsia" w:ascii="仿宋_GB2312" w:hAnsi="仿宋_GB2312" w:eastAsia="仿宋_GB2312" w:cs="仿宋_GB2312"/>
          <w:sz w:val="32"/>
          <w:szCs w:val="32"/>
          <w:lang w:eastAsia="zh-CN"/>
        </w:rPr>
        <w:t>支付结算处</w:t>
      </w:r>
    </w:p>
    <w:p>
      <w:pPr>
        <w:numPr>
          <w:ilvl w:val="0"/>
          <w:numId w:val="3"/>
        </w:numPr>
        <w:wordWrap/>
        <w:adjustRightInd/>
        <w:snapToGrid/>
        <w:spacing w:line="560" w:lineRule="exact"/>
        <w:ind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受理层级</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lang w:val="en-US" w:eastAsia="zh-CN"/>
        </w:rPr>
        <w:t>青岛市本级、青岛市下辖各区、市</w:t>
      </w:r>
    </w:p>
    <w:p>
      <w:pPr>
        <w:numPr>
          <w:ilvl w:val="0"/>
          <w:numId w:val="0"/>
        </w:numPr>
        <w:wordWrap/>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六、办理</w:t>
      </w:r>
      <w:r>
        <w:rPr>
          <w:rFonts w:hint="eastAsia" w:ascii="黑体" w:hAnsi="黑体" w:eastAsia="黑体" w:cs="黑体"/>
          <w:sz w:val="32"/>
          <w:szCs w:val="32"/>
        </w:rPr>
        <w:t>流程</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楷体_GB2312" w:hAnsi="楷体_GB2312" w:eastAsia="楷体_GB2312" w:cs="楷体_GB2312"/>
          <w:sz w:val="32"/>
          <w:szCs w:val="32"/>
          <w:shd w:val="clear" w:color="auto" w:fill="FFFFFF"/>
          <w:lang w:eastAsia="zh-CN"/>
        </w:rPr>
      </w:pPr>
      <w:r>
        <w:rPr>
          <w:rFonts w:hint="eastAsia" w:ascii="楷体_GB2312" w:hAnsi="楷体_GB2312" w:eastAsia="楷体_GB2312" w:cs="楷体_GB2312"/>
          <w:sz w:val="32"/>
          <w:szCs w:val="32"/>
          <w:shd w:val="clear" w:color="auto" w:fill="FFFFFF"/>
          <w:lang w:eastAsia="zh-CN"/>
        </w:rPr>
        <w:t>（</w:t>
      </w:r>
      <w:r>
        <w:rPr>
          <w:rFonts w:hint="eastAsia" w:ascii="楷体_GB2312" w:hAnsi="楷体_GB2312" w:eastAsia="楷体_GB2312" w:cs="楷体_GB2312"/>
          <w:sz w:val="32"/>
          <w:szCs w:val="32"/>
          <w:shd w:val="clear" w:color="auto" w:fill="FFFFFF"/>
          <w:lang w:val="en-US" w:eastAsia="zh-CN"/>
        </w:rPr>
        <w:t>一</w:t>
      </w:r>
      <w:r>
        <w:rPr>
          <w:rFonts w:hint="eastAsia" w:ascii="楷体_GB2312" w:hAnsi="楷体_GB2312" w:eastAsia="楷体_GB2312" w:cs="楷体_GB2312"/>
          <w:sz w:val="32"/>
          <w:szCs w:val="32"/>
          <w:shd w:val="clear" w:color="auto" w:fill="FFFFFF"/>
          <w:lang w:eastAsia="zh-CN"/>
        </w:rPr>
        <w:t>）提出申请。</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1.中国人民银行青岛市分行支付结算处接收申请人提交的申请材料，并清点材料数量。</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lang w:eastAsia="zh-CN"/>
        </w:rPr>
        <w:t>2.清点无误的，中国人民银行青岛市分行支付结算处向申请人出具申请材料接收凭证。</w:t>
      </w:r>
    </w:p>
    <w:p>
      <w:pPr>
        <w:pStyle w:val="15"/>
        <w:widowControl/>
        <w:numPr>
          <w:ilvl w:val="0"/>
          <w:numId w:val="0"/>
        </w:numPr>
        <w:wordWrap/>
        <w:adjustRightInd/>
        <w:snapToGrid/>
        <w:spacing w:before="0" w:beforeLines="0" w:beforeAutospacing="0" w:after="0" w:afterLines="0" w:afterAutospacing="0" w:line="560" w:lineRule="exact"/>
        <w:ind w:right="15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楷体_GB2312" w:hAnsi="楷体_GB2312" w:eastAsia="楷体_GB2312" w:cs="楷体_GB2312"/>
          <w:sz w:val="32"/>
          <w:szCs w:val="32"/>
          <w:shd w:val="clear" w:color="auto" w:fill="FFFFFF"/>
          <w:lang w:val="en-US" w:eastAsia="zh-CN"/>
        </w:rPr>
        <w:t xml:space="preserve">    （二）受</w:t>
      </w:r>
      <w:r>
        <w:rPr>
          <w:rFonts w:hint="eastAsia" w:ascii="楷体_GB2312" w:hAnsi="楷体_GB2312" w:eastAsia="楷体_GB2312" w:cs="楷体_GB2312"/>
          <w:sz w:val="32"/>
          <w:szCs w:val="32"/>
          <w:shd w:val="clear" w:color="auto" w:fill="FFFFFF"/>
          <w:lang w:eastAsia="zh-CN"/>
        </w:rPr>
        <w:t>理</w:t>
      </w:r>
      <w:r>
        <w:rPr>
          <w:rFonts w:hint="eastAsia" w:ascii="仿宋_GB2312" w:hAnsi="仿宋_GB2312" w:eastAsia="仿宋_GB2312" w:cs="仿宋_GB2312"/>
          <w:sz w:val="32"/>
          <w:szCs w:val="32"/>
          <w:shd w:val="clear" w:color="auto" w:fill="FFFFFF"/>
          <w:lang w:eastAsia="zh-CN"/>
        </w:rPr>
        <w:t>。</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中国人民银行青岛市分行对申请材料进行初步审核，视以下不同情况出具受理意见：</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1.对于申请材料不齐全或者不符合法定形式的，向申请人送达行政许可补正告知书，告知申请人需要补正的全部材料、补正期限。</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2.对于申请材料齐全、符合法定形式，或者申请人按要求提交全部补正申请材料的，向申请人送达行政许可受理通知书，并通知申请人及时按规定进行公告。</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3.对于申请事项依法不属于中国人民银行职权范围，或者申请人提供的补正材料不齐全、不符合法定形式的，及时做出不予受理的决定，向申请人送达不予受理行政许可决定书。</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shd w:val="clear" w:color="auto" w:fill="FFFFFF"/>
          <w:lang w:val="en-US" w:eastAsia="zh-CN"/>
        </w:rPr>
        <w:t>对于受理、不予受理或者要求补正申请材料的通知书，应当自相关文书作出之日起5个工作日内送达申请人。</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eastAsia="zh-CN"/>
        </w:rPr>
      </w:pPr>
      <w:r>
        <w:rPr>
          <w:rFonts w:hint="eastAsia" w:ascii="楷体_GB2312" w:hAnsi="楷体_GB2312" w:eastAsia="楷体_GB2312" w:cs="楷体_GB2312"/>
          <w:sz w:val="32"/>
          <w:szCs w:val="32"/>
          <w:shd w:val="clear" w:color="auto" w:fill="FFFFFF"/>
          <w:lang w:val="en-US" w:eastAsia="zh-CN"/>
        </w:rPr>
        <w:t>（三）办理</w:t>
      </w:r>
      <w:r>
        <w:rPr>
          <w:rFonts w:hint="eastAsia" w:ascii="楷体_GB2312" w:hAnsi="楷体_GB2312" w:eastAsia="楷体_GB2312" w:cs="楷体_GB2312"/>
          <w:sz w:val="32"/>
          <w:szCs w:val="32"/>
          <w:shd w:val="clear" w:color="auto" w:fill="FFFFFF"/>
          <w:lang w:eastAsia="zh-CN"/>
        </w:rPr>
        <w:t>。</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中国人民银行青岛市分行对申请材料进行审核，组织对申请人进行现场核查，并提前告知申请人有关核查事项。现场核查应通过询问工作人员、调阅档案资料、实地调查确认等方式开展。中国人民银行青岛市分行结合材料审核、现场核查相关情况和公众反馈信息，形成支付业务许可审查初审意见报送中国人民银行总行。中国人民银行总行对申请材料进行复审和下达行政许可决定。</w:t>
      </w:r>
    </w:p>
    <w:p>
      <w:p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七、</w:t>
      </w:r>
      <w:r>
        <w:rPr>
          <w:rFonts w:hint="eastAsia" w:ascii="黑体" w:hAnsi="黑体" w:eastAsia="黑体" w:cs="黑体"/>
          <w:sz w:val="32"/>
          <w:szCs w:val="32"/>
        </w:rPr>
        <w:t>办理时限</w:t>
      </w:r>
    </w:p>
    <w:p>
      <w:pPr>
        <w:widowControl w:val="0"/>
        <w:wordWrap/>
        <w:adjustRightInd/>
        <w:snapToGrid/>
        <w:spacing w:line="240" w:lineRule="auto"/>
        <w:ind w:left="0" w:leftChars="0" w:right="0" w:firstLine="640" w:firstLineChars="200"/>
        <w:jc w:val="left"/>
        <w:textAlignment w:val="auto"/>
        <w:outlineLvl w:val="9"/>
        <w:rPr>
          <w:rFonts w:hint="eastAsia" w:ascii="FangSong_GB2312" w:hAnsi="FangSong_GB2312" w:eastAsia="FangSong_GB2312"/>
          <w:sz w:val="32"/>
        </w:rPr>
      </w:pPr>
      <w:r>
        <w:rPr>
          <w:rFonts w:hint="eastAsia" w:ascii="FangSong_GB2312" w:hAnsi="FangSong_GB2312" w:eastAsia="FangSong_GB2312"/>
          <w:sz w:val="32"/>
        </w:rPr>
        <w:t>中国人民银行</w:t>
      </w:r>
      <w:r>
        <w:rPr>
          <w:rFonts w:hint="eastAsia" w:ascii="FangSong_GB2312" w:hAnsi="FangSong_GB2312" w:eastAsia="FangSong_GB2312"/>
          <w:sz w:val="32"/>
          <w:lang w:eastAsia="zh-CN"/>
        </w:rPr>
        <w:t>青岛市分行</w:t>
      </w:r>
      <w:r>
        <w:rPr>
          <w:rFonts w:hint="eastAsia" w:ascii="FangSong_GB2312" w:hAnsi="FangSong_GB2312" w:eastAsia="FangSong_GB2312"/>
          <w:sz w:val="32"/>
        </w:rPr>
        <w:t>自受理申请之日起初步审查，并将申请材料和初步审查意见报送中国人民银行。中国人民银行自中国人民银行</w:t>
      </w:r>
      <w:r>
        <w:rPr>
          <w:rFonts w:hint="eastAsia" w:ascii="FangSong_GB2312" w:hAnsi="FangSong_GB2312" w:eastAsia="FangSong_GB2312"/>
          <w:sz w:val="32"/>
          <w:lang w:eastAsia="zh-CN"/>
        </w:rPr>
        <w:t>青岛市分行</w:t>
      </w:r>
      <w:r>
        <w:rPr>
          <w:rFonts w:hint="eastAsia" w:ascii="FangSong_GB2312" w:hAnsi="FangSong_GB2312" w:eastAsia="FangSong_GB2312"/>
          <w:sz w:val="32"/>
        </w:rPr>
        <w:t>受理申请之日起6 个月内作出批准或者不予批准的决定。</w:t>
      </w:r>
    </w:p>
    <w:p>
      <w:pPr>
        <w:widowControl w:val="0"/>
        <w:wordWrap/>
        <w:adjustRightInd/>
        <w:snapToGrid/>
        <w:spacing w:line="240" w:lineRule="auto"/>
        <w:ind w:left="0" w:leftChars="0" w:right="0"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八、收费标准</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不收费</w:t>
      </w:r>
    </w:p>
    <w:p>
      <w:pPr>
        <w:numPr>
          <w:ilvl w:val="0"/>
          <w:numId w:val="0"/>
        </w:numPr>
        <w:wordWrap/>
        <w:adjustRightInd/>
        <w:snapToGrid/>
        <w:spacing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咨询渠道</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0532-80896752</w:t>
      </w:r>
    </w:p>
    <w:p>
      <w:pPr>
        <w:widowControl w:val="0"/>
        <w:wordWrap/>
        <w:adjustRightInd/>
        <w:snapToGrid/>
        <w:spacing w:line="560" w:lineRule="exact"/>
        <w:ind w:right="0"/>
        <w:jc w:val="center"/>
        <w:textAlignment w:val="auto"/>
        <w:outlineLvl w:val="9"/>
        <w:rPr>
          <w:rFonts w:hint="eastAsia" w:ascii="黑体" w:hAnsi="黑体" w:eastAsia="黑体" w:cs="黑体"/>
          <w:color w:val="000000"/>
          <w:sz w:val="44"/>
          <w:szCs w:val="44"/>
          <w:lang w:eastAsia="zh-CN"/>
        </w:rPr>
      </w:pPr>
    </w:p>
    <w:p>
      <w:pPr>
        <w:pStyle w:val="2"/>
        <w:keepNext/>
        <w:keepLines/>
        <w:widowControl w:val="0"/>
        <w:wordWrap/>
        <w:adjustRightInd/>
        <w:snapToGrid/>
        <w:spacing w:before="100" w:beforeLines="0" w:after="90" w:afterLines="0" w:line="560" w:lineRule="exact"/>
        <w:ind w:left="0" w:leftChars="0" w:right="0" w:firstLine="0" w:firstLineChars="0"/>
        <w:jc w:val="center"/>
        <w:textAlignment w:val="auto"/>
        <w:outlineLvl w:val="0"/>
        <w:rPr>
          <w:rFonts w:hint="eastAsia"/>
          <w:lang w:eastAsia="zh-CN"/>
        </w:rPr>
      </w:pPr>
      <w:r>
        <w:rPr>
          <w:rFonts w:hint="eastAsia" w:ascii="黑体" w:hAnsi="黑体" w:eastAsia="黑体" w:cs="黑体"/>
          <w:color w:val="000000"/>
          <w:szCs w:val="44"/>
          <w:lang w:eastAsia="zh-CN"/>
        </w:rPr>
        <w:br w:type="page"/>
      </w:r>
      <w:bookmarkStart w:id="7" w:name="_Toc26378"/>
      <w:r>
        <w:rPr>
          <w:rFonts w:hint="eastAsia"/>
          <w:lang w:eastAsia="zh-CN"/>
        </w:rPr>
        <w:t>人民币图样使用审批</w:t>
      </w:r>
      <w:bookmarkEnd w:id="7"/>
      <w:r>
        <w:rPr>
          <w:rFonts w:hint="eastAsia"/>
          <w:lang w:eastAsia="zh-CN"/>
        </w:rPr>
        <w:t>办事指南</w:t>
      </w:r>
    </w:p>
    <w:p>
      <w:pPr>
        <w:pStyle w:val="2"/>
        <w:wordWrap/>
        <w:adjustRightInd/>
        <w:snapToGrid/>
        <w:spacing w:line="560" w:lineRule="exact"/>
        <w:textAlignment w:val="auto"/>
        <w:rPr>
          <w:rFonts w:hint="eastAsia"/>
        </w:rPr>
      </w:pP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color w:val="000000"/>
          <w:sz w:val="32"/>
          <w:szCs w:val="32"/>
        </w:rPr>
        <w:t>一、</w:t>
      </w:r>
      <w:r>
        <w:rPr>
          <w:rFonts w:hint="eastAsia" w:ascii="黑体" w:hAnsi="黑体" w:eastAsia="黑体" w:cs="黑体"/>
          <w:sz w:val="32"/>
          <w:szCs w:val="32"/>
        </w:rPr>
        <w:t>事项名称</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人民币图样使用审批（受理、初审）</w:t>
      </w:r>
    </w:p>
    <w:p>
      <w:p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二、事项类别</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行政许可事项（受理、初审）</w:t>
      </w:r>
    </w:p>
    <w:p>
      <w:p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三、办理依据</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《中华人民共和国人民币管理条例》《人民币图样使用管理办法》（中国人民银行令〔2019〕第2号发布）。</w:t>
      </w:r>
    </w:p>
    <w:p>
      <w:pPr>
        <w:numPr>
          <w:ilvl w:val="0"/>
          <w:numId w:val="4"/>
        </w:num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受理部门</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中国人民银行青岛市分行货币金银处</w:t>
      </w:r>
    </w:p>
    <w:p>
      <w:pPr>
        <w:numPr>
          <w:ilvl w:val="0"/>
          <w:numId w:val="4"/>
        </w:numPr>
        <w:wordWrap/>
        <w:adjustRightInd/>
        <w:snapToGrid/>
        <w:spacing w:line="560" w:lineRule="exact"/>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受理层级</w:t>
      </w:r>
    </w:p>
    <w:p>
      <w:pPr>
        <w:widowControl w:val="0"/>
        <w:wordWrap/>
        <w:adjustRightInd/>
        <w:snapToGrid/>
        <w:spacing w:line="560" w:lineRule="exact"/>
        <w:ind w:left="0" w:leftChars="0" w:right="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sz w:val="32"/>
          <w:szCs w:val="32"/>
          <w:lang w:val="en-US" w:eastAsia="zh-CN"/>
        </w:rPr>
        <w:t>青岛市本级、青岛市下辖各区、市</w:t>
      </w:r>
    </w:p>
    <w:p>
      <w:pPr>
        <w:widowControl w:val="0"/>
        <w:wordWrap/>
        <w:adjustRightInd/>
        <w:snapToGrid/>
        <w:spacing w:line="560" w:lineRule="exact"/>
        <w:ind w:left="0" w:leftChars="0" w:right="0" w:firstLine="640" w:firstLineChars="200"/>
        <w:textAlignment w:val="auto"/>
        <w:outlineLvl w:val="9"/>
        <w:rPr>
          <w:rFonts w:hint="eastAsia" w:ascii="仿宋_GB2312" w:hAnsi="仿宋_GB2312" w:eastAsia="仿宋_GB2312" w:cs="仿宋_GB2312"/>
          <w:color w:val="000000"/>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办理</w:t>
      </w:r>
      <w:r>
        <w:rPr>
          <w:rFonts w:hint="eastAsia" w:ascii="黑体" w:hAnsi="黑体" w:eastAsia="黑体" w:cs="黑体"/>
          <w:sz w:val="32"/>
          <w:szCs w:val="32"/>
        </w:rPr>
        <w:t>流程</w:t>
      </w:r>
    </w:p>
    <w:p>
      <w:pPr>
        <w:widowControl w:val="0"/>
        <w:numPr>
          <w:ilvl w:val="0"/>
          <w:numId w:val="5"/>
        </w:numPr>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申请条件。</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在中华人民共和国境内依法设立的法人、其他组织及自然人以弘扬民族文化和反映国内外科学文化成果、宣传爱护人民币和人民币防伪知识、展示人民币设计艺术、促进钱币文化健康发展为目的，可以申请使用人民币图样。使用人民币图样应当遵守《人民币图样使用管理办法》第九条规定。</w:t>
      </w:r>
    </w:p>
    <w:p>
      <w:pPr>
        <w:widowControl w:val="0"/>
        <w:numPr>
          <w:ilvl w:val="0"/>
          <w:numId w:val="0"/>
        </w:numPr>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（二）申请材料。</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color w:val="000000"/>
          <w:sz w:val="32"/>
          <w:szCs w:val="32"/>
          <w:lang w:eastAsia="zh-CN"/>
        </w:rPr>
        <w:t>申请使用人民币图样的申请人</w:t>
      </w:r>
      <w:r>
        <w:rPr>
          <w:rFonts w:hint="eastAsia" w:ascii="仿宋_GB2312" w:hAnsi="仿宋_GB2312" w:eastAsia="仿宋_GB2312" w:cs="仿宋_GB2312"/>
          <w:b w:val="0"/>
          <w:i w:val="0"/>
          <w:caps w:val="0"/>
          <w:color w:val="auto"/>
          <w:spacing w:val="0"/>
          <w:sz w:val="32"/>
          <w:szCs w:val="32"/>
          <w:lang w:val="en-US" w:eastAsia="zh-CN"/>
        </w:rPr>
        <w:t>向人民银行青岛市分行现场或邮寄提交以下材料：</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b w:val="0"/>
          <w:i w:val="0"/>
          <w:caps w:val="0"/>
          <w:color w:val="auto"/>
          <w:spacing w:val="0"/>
          <w:sz w:val="32"/>
          <w:szCs w:val="32"/>
          <w:lang w:val="en-US" w:eastAsia="zh-CN"/>
        </w:rPr>
        <w:t>1.</w:t>
      </w:r>
      <w:r>
        <w:rPr>
          <w:rFonts w:hint="eastAsia" w:ascii="仿宋_GB2312" w:hAnsi="仿宋_GB2312" w:eastAsia="仿宋_GB2312" w:cs="仿宋_GB2312"/>
          <w:color w:val="000000"/>
          <w:sz w:val="32"/>
          <w:szCs w:val="32"/>
          <w:lang w:eastAsia="zh-CN"/>
        </w:rPr>
        <w:t>《人民币图样使用申请表》。</w:t>
      </w:r>
    </w:p>
    <w:p>
      <w:pPr>
        <w:widowControl w:val="0"/>
        <w:numPr>
          <w:ilvl w:val="0"/>
          <w:numId w:val="6"/>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申请人身份证件、营业执照或法人登记证书。</w:t>
      </w:r>
    </w:p>
    <w:p>
      <w:pPr>
        <w:widowControl w:val="0"/>
        <w:numPr>
          <w:ilvl w:val="0"/>
          <w:numId w:val="6"/>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拟使用人民币图样产品的设计稿。</w:t>
      </w:r>
    </w:p>
    <w:p>
      <w:pPr>
        <w:widowControl w:val="0"/>
        <w:numPr>
          <w:ilvl w:val="0"/>
          <w:numId w:val="6"/>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拟使用人民币图样产品的广告宣传文案。</w:t>
      </w:r>
    </w:p>
    <w:p>
      <w:pPr>
        <w:widowControl w:val="0"/>
        <w:numPr>
          <w:ilvl w:val="0"/>
          <w:numId w:val="6"/>
        </w:numPr>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中国人民银行要求的其他相关材料。</w:t>
      </w:r>
    </w:p>
    <w:p>
      <w:pPr>
        <w:keepNext w:val="0"/>
        <w:keepLines w:val="0"/>
        <w:pageBreakBefore w:val="0"/>
        <w:widowControl w:val="0"/>
        <w:kinsoku/>
        <w:wordWrap/>
        <w:overflowPunct/>
        <w:topLinePunct w:val="0"/>
        <w:autoSpaceDE/>
        <w:autoSpaceDN/>
        <w:bidi w:val="0"/>
        <w:adjustRightInd w:val="0"/>
        <w:snapToGrid/>
        <w:spacing w:line="560" w:lineRule="exact"/>
        <w:ind w:left="0" w:leftChars="0" w:right="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人民银行青岛市分行接收上述材料，向申请人出具行政许可材料接收凭证。</w:t>
      </w:r>
    </w:p>
    <w:p>
      <w:pPr>
        <w:widowControl w:val="0"/>
        <w:numPr>
          <w:ilvl w:val="0"/>
          <w:numId w:val="0"/>
        </w:numPr>
        <w:wordWrap/>
        <w:adjustRightInd/>
        <w:snapToGrid/>
        <w:spacing w:line="560" w:lineRule="exact"/>
        <w:ind w:leftChars="200" w:right="0"/>
        <w:jc w:val="both"/>
        <w:textAlignment w:val="auto"/>
        <w:outlineLvl w:val="9"/>
        <w:rPr>
          <w:rFonts w:hint="eastAsia" w:ascii="楷体_GB2312" w:hAnsi="楷体_GB2312" w:eastAsia="楷体_GB2312" w:cs="楷体_GB2312"/>
          <w:color w:val="000000"/>
          <w:sz w:val="32"/>
          <w:szCs w:val="32"/>
          <w:lang w:eastAsia="zh-CN"/>
        </w:rPr>
      </w:pPr>
      <w:r>
        <w:rPr>
          <w:rFonts w:hint="eastAsia" w:ascii="楷体_GB2312" w:hAnsi="楷体_GB2312" w:eastAsia="楷体_GB2312" w:cs="楷体_GB2312"/>
          <w:color w:val="000000"/>
          <w:sz w:val="32"/>
          <w:szCs w:val="32"/>
          <w:lang w:eastAsia="zh-CN"/>
        </w:rPr>
        <w:t>（三）受理申请。</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中国人民银行青岛市分行对申请事项以及申请材料进行审核，视以下不同情况出具相关意见：</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1.对于申请材料不齐全或者不符合规定形式的，向申请人送达行政许可补正告知书，告知申请人需要补正的全部材料、补正期限。</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2.对于申请材料齐全、符合规定形式，或者申请人按要求提交全部补正申请材料的，向申请人出具行政许可受理通知书。</w:t>
      </w:r>
    </w:p>
    <w:p>
      <w:pPr>
        <w:pStyle w:val="15"/>
        <w:widowControl/>
        <w:numPr>
          <w:ilvl w:val="0"/>
          <w:numId w:val="0"/>
        </w:numPr>
        <w:wordWrap/>
        <w:adjustRightInd/>
        <w:snapToGrid/>
        <w:spacing w:before="0" w:beforeLines="0" w:beforeAutospacing="0" w:after="0" w:afterLines="0" w:afterAutospacing="0" w:line="560" w:lineRule="exact"/>
        <w:ind w:right="150" w:firstLine="640" w:firstLineChars="200"/>
        <w:jc w:val="both"/>
        <w:textAlignment w:val="auto"/>
        <w:outlineLvl w:val="9"/>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3.对于申请事项依法不属于中国人民银行职权范围，或者申请人提供的补正材料不齐全、不符合规定形式的，做出不予受理的决定，向申请人出具</w:t>
      </w:r>
      <w:r>
        <w:rPr>
          <w:rFonts w:hint="eastAsia" w:ascii="仿宋_GB2312" w:hAnsi="仿宋_GB2312" w:eastAsia="仿宋_GB2312" w:cs="仿宋_GB2312"/>
          <w:color w:val="000000"/>
          <w:sz w:val="32"/>
          <w:szCs w:val="32"/>
          <w:lang w:eastAsia="zh-CN"/>
        </w:rPr>
        <w:t>不予受理通知书</w:t>
      </w:r>
      <w:r>
        <w:rPr>
          <w:rFonts w:hint="eastAsia" w:ascii="仿宋_GB2312" w:hAnsi="仿宋_GB2312" w:eastAsia="仿宋_GB2312" w:cs="仿宋_GB2312"/>
          <w:sz w:val="32"/>
          <w:szCs w:val="32"/>
          <w:shd w:val="clear" w:color="auto" w:fill="FFFFFF"/>
          <w:lang w:val="en-US" w:eastAsia="zh-CN"/>
        </w:rPr>
        <w:t>。</w:t>
      </w:r>
    </w:p>
    <w:p>
      <w:pPr>
        <w:widowControl w:val="0"/>
        <w:numPr>
          <w:ilvl w:val="0"/>
          <w:numId w:val="7"/>
        </w:numPr>
        <w:wordWrap/>
        <w:adjustRightInd/>
        <w:snapToGrid/>
        <w:spacing w:line="560" w:lineRule="exact"/>
        <w:ind w:left="0" w:leftChars="0" w:right="0" w:firstLine="640" w:firstLineChars="200"/>
        <w:jc w:val="both"/>
        <w:textAlignment w:val="auto"/>
        <w:outlineLvl w:val="9"/>
        <w:rPr>
          <w:rFonts w:hint="eastAsia" w:ascii="楷体_GB2312" w:hAnsi="楷体_GB2312" w:eastAsia="楷体_GB2312" w:cs="楷体_GB2312"/>
          <w:b w:val="0"/>
          <w:i w:val="0"/>
          <w:caps w:val="0"/>
          <w:color w:val="auto"/>
          <w:spacing w:val="0"/>
          <w:sz w:val="32"/>
          <w:szCs w:val="32"/>
          <w:lang w:val="en-US" w:eastAsia="zh-CN"/>
        </w:rPr>
      </w:pPr>
      <w:r>
        <w:rPr>
          <w:rFonts w:hint="eastAsia" w:ascii="楷体_GB2312" w:hAnsi="楷体_GB2312" w:eastAsia="楷体_GB2312" w:cs="楷体_GB2312"/>
          <w:b w:val="0"/>
          <w:i w:val="0"/>
          <w:caps w:val="0"/>
          <w:color w:val="auto"/>
          <w:spacing w:val="0"/>
          <w:sz w:val="32"/>
          <w:szCs w:val="32"/>
          <w:lang w:val="en-US" w:eastAsia="zh-CN"/>
        </w:rPr>
        <w:t>许可审批。</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val="en-US" w:eastAsia="zh-CN"/>
        </w:rPr>
        <w:t>中国人民银行青岛市分行</w:t>
      </w:r>
      <w:r>
        <w:rPr>
          <w:rFonts w:hint="eastAsia" w:ascii="仿宋_GB2312" w:hAnsi="仿宋_GB2312" w:eastAsia="仿宋_GB2312" w:cs="仿宋_GB2312"/>
          <w:b w:val="0"/>
          <w:i w:val="0"/>
          <w:caps w:val="0"/>
          <w:color w:val="auto"/>
          <w:spacing w:val="0"/>
          <w:sz w:val="32"/>
          <w:szCs w:val="32"/>
        </w:rPr>
        <w:t>将初步审查意见和申请材料报送</w:t>
      </w:r>
      <w:r>
        <w:rPr>
          <w:rFonts w:hint="eastAsia" w:ascii="仿宋_GB2312" w:hAnsi="仿宋_GB2312" w:eastAsia="仿宋_GB2312" w:cs="仿宋_GB2312"/>
          <w:b w:val="0"/>
          <w:i w:val="0"/>
          <w:caps w:val="0"/>
          <w:color w:val="auto"/>
          <w:spacing w:val="0"/>
          <w:sz w:val="32"/>
          <w:szCs w:val="32"/>
          <w:lang w:eastAsia="zh-CN"/>
        </w:rPr>
        <w:t>中国人民银行山东省分行，中国人民银行山东省分行进行审批，</w:t>
      </w:r>
      <w:r>
        <w:rPr>
          <w:rFonts w:hint="eastAsia" w:ascii="仿宋_GB2312" w:hAnsi="仿宋_GB2312" w:eastAsia="仿宋_GB2312" w:cs="仿宋_GB2312"/>
          <w:color w:val="000000"/>
          <w:sz w:val="32"/>
          <w:szCs w:val="32"/>
          <w:lang w:eastAsia="zh-CN"/>
        </w:rPr>
        <w:t>在规定的时限内做出决定</w:t>
      </w:r>
      <w:r>
        <w:rPr>
          <w:rFonts w:hint="eastAsia" w:ascii="仿宋_GB2312" w:hAnsi="仿宋_GB2312" w:eastAsia="仿宋_GB2312" w:cs="仿宋_GB2312"/>
          <w:b w:val="0"/>
          <w:i w:val="0"/>
          <w:caps w:val="0"/>
          <w:color w:val="auto"/>
          <w:spacing w:val="0"/>
          <w:sz w:val="32"/>
          <w:szCs w:val="32"/>
        </w:rPr>
        <w:t>。</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七</w:t>
      </w:r>
      <w:r>
        <w:rPr>
          <w:rFonts w:hint="eastAsia" w:ascii="黑体" w:hAnsi="黑体" w:eastAsia="黑体" w:cs="黑体"/>
          <w:color w:val="000000"/>
          <w:sz w:val="32"/>
          <w:szCs w:val="32"/>
        </w:rPr>
        <w:t>、办结时限</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青岛市分行自受理之日起20日内审查完毕，并将初步审查意见和申请材料移交中国人民银行山东省分行。中国人民银行山东省分行自收到申请材料和初步审查意见之日起20日内，作出是否准予行政许可的决定。</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其中，《中国人民银行行政许可实施办法》（中国人民银行令〔2020〕第1号发布）第三十三条规定的相关程序不计入时限。</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八</w:t>
      </w:r>
      <w:r>
        <w:rPr>
          <w:rFonts w:hint="eastAsia" w:ascii="黑体" w:hAnsi="黑体" w:eastAsia="黑体" w:cs="黑体"/>
          <w:color w:val="000000"/>
          <w:sz w:val="32"/>
          <w:szCs w:val="32"/>
        </w:rPr>
        <w:t>、收费标准</w:t>
      </w:r>
    </w:p>
    <w:p>
      <w:pPr>
        <w:widowControl w:val="0"/>
        <w:wordWrap/>
        <w:adjustRightInd/>
        <w:snapToGrid/>
        <w:spacing w:line="560" w:lineRule="exact"/>
        <w:ind w:left="0" w:leftChars="0" w:right="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不收费</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lang w:eastAsia="zh-CN"/>
        </w:rPr>
      </w:pPr>
      <w:r>
        <w:rPr>
          <w:rFonts w:hint="eastAsia" w:ascii="黑体" w:hAnsi="黑体" w:eastAsia="黑体" w:cs="黑体"/>
          <w:color w:val="000000"/>
          <w:sz w:val="32"/>
          <w:szCs w:val="32"/>
          <w:lang w:eastAsia="zh-CN"/>
        </w:rPr>
        <w:t>九</w:t>
      </w:r>
      <w:r>
        <w:rPr>
          <w:rFonts w:hint="eastAsia" w:ascii="黑体" w:hAnsi="黑体" w:eastAsia="黑体" w:cs="黑体"/>
          <w:color w:val="000000"/>
          <w:sz w:val="32"/>
          <w:szCs w:val="32"/>
        </w:rPr>
        <w:t>、咨询</w:t>
      </w:r>
      <w:r>
        <w:rPr>
          <w:rFonts w:hint="eastAsia" w:ascii="黑体" w:hAnsi="黑体" w:eastAsia="黑体" w:cs="黑体"/>
          <w:color w:val="000000"/>
          <w:sz w:val="32"/>
          <w:szCs w:val="32"/>
          <w:lang w:eastAsia="zh-CN"/>
        </w:rPr>
        <w:t>渠道</w:t>
      </w:r>
    </w:p>
    <w:p>
      <w:pPr>
        <w:widowControl w:val="0"/>
        <w:wordWrap/>
        <w:adjustRightInd/>
        <w:snapToGrid/>
        <w:spacing w:line="560" w:lineRule="exact"/>
        <w:ind w:left="0" w:leftChars="0" w:right="0" w:firstLine="640" w:firstLineChars="200"/>
        <w:jc w:val="both"/>
        <w:textAlignment w:val="auto"/>
        <w:outlineLvl w:val="9"/>
        <w:rPr>
          <w:rFonts w:hint="eastAsia" w:ascii="黑体" w:hAnsi="黑体" w:eastAsia="黑体" w:cs="黑体"/>
          <w:color w:val="000000"/>
          <w:sz w:val="32"/>
          <w:szCs w:val="32"/>
          <w:lang w:eastAsia="zh-CN"/>
        </w:rPr>
      </w:pPr>
      <w:r>
        <w:rPr>
          <w:rFonts w:hint="eastAsia" w:ascii="仿宋_GB2312" w:hAnsi="仿宋_GB2312" w:eastAsia="仿宋_GB2312" w:cs="仿宋_GB2312"/>
          <w:sz w:val="32"/>
          <w:szCs w:val="32"/>
          <w:lang w:val="en-US" w:eastAsia="zh-CN"/>
        </w:rPr>
        <w:t>0532-68013950</w:t>
      </w:r>
    </w:p>
    <w:p>
      <w:pPr>
        <w:widowControl w:val="0"/>
        <w:wordWrap/>
        <w:adjustRightInd/>
        <w:snapToGrid/>
        <w:spacing w:line="560" w:lineRule="exact"/>
        <w:ind w:left="0" w:leftChars="0" w:right="0" w:firstLine="0" w:firstLineChars="0"/>
        <w:jc w:val="center"/>
        <w:textAlignment w:val="auto"/>
        <w:outlineLvl w:val="0"/>
        <w:rPr>
          <w:rStyle w:val="19"/>
          <w:lang w:val="en-US"/>
        </w:rPr>
      </w:pPr>
      <w:r>
        <w:rPr>
          <w:rFonts w:hint="eastAsia" w:ascii="黑体" w:hAnsi="黑体" w:eastAsia="黑体" w:cs="黑体"/>
          <w:color w:val="000000"/>
          <w:sz w:val="32"/>
          <w:szCs w:val="32"/>
          <w:lang w:eastAsia="zh-CN"/>
        </w:rPr>
        <w:br w:type="page"/>
      </w:r>
      <w:bookmarkStart w:id="8" w:name="_Toc3236"/>
      <w:r>
        <w:rPr>
          <w:rStyle w:val="19"/>
          <w:rFonts w:hint="eastAsia"/>
        </w:rPr>
        <w:t>黄金制品进出口审批</w:t>
      </w:r>
      <w:r>
        <w:rPr>
          <w:rStyle w:val="19"/>
          <w:rFonts w:hint="eastAsia" w:eastAsia="黑体"/>
          <w:lang w:eastAsia="zh-CN"/>
        </w:rPr>
        <w:t>（受理、初审）</w:t>
      </w:r>
      <w:r>
        <w:rPr>
          <w:rStyle w:val="19"/>
          <w:rFonts w:hint="eastAsia"/>
          <w:lang w:eastAsia="zh-CN"/>
        </w:rPr>
        <w:t>办事指南</w:t>
      </w:r>
      <w:bookmarkEnd w:id="8"/>
    </w:p>
    <w:p>
      <w:pPr>
        <w:pStyle w:val="15"/>
        <w:widowControl/>
        <w:numPr>
          <w:ilvl w:val="0"/>
          <w:numId w:val="0"/>
        </w:numPr>
        <w:wordWrap/>
        <w:adjustRightInd/>
        <w:snapToGrid/>
        <w:spacing w:beforeAutospacing="0" w:afterAutospacing="0" w:line="560" w:lineRule="exact"/>
        <w:ind w:left="640" w:leftChars="0" w:right="0"/>
        <w:jc w:val="both"/>
        <w:textAlignment w:val="auto"/>
        <w:outlineLvl w:val="9"/>
        <w:rPr>
          <w:rFonts w:hint="eastAsia" w:ascii="黑体" w:hAnsi="黑体" w:eastAsia="黑体" w:cs="黑体"/>
          <w:b w:val="0"/>
          <w:i w:val="0"/>
          <w:caps w:val="0"/>
          <w:color w:val="auto"/>
          <w:spacing w:val="0"/>
          <w:sz w:val="32"/>
          <w:szCs w:val="32"/>
        </w:rPr>
      </w:pPr>
    </w:p>
    <w:p>
      <w:pPr>
        <w:pStyle w:val="15"/>
        <w:widowControl/>
        <w:numPr>
          <w:ilvl w:val="0"/>
          <w:numId w:val="8"/>
        </w:numPr>
        <w:wordWrap/>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rPr>
        <w:t>事项名称</w:t>
      </w:r>
    </w:p>
    <w:p>
      <w:pPr>
        <w:pStyle w:val="15"/>
        <w:widowControl/>
        <w:numPr>
          <w:ilvl w:val="0"/>
          <w:numId w:val="0"/>
        </w:numPr>
        <w:wordWrap/>
        <w:adjustRightInd/>
        <w:snapToGrid/>
        <w:spacing w:beforeAutospacing="0" w:afterAutospacing="0" w:line="560" w:lineRule="exact"/>
        <w:ind w:left="640" w:leftChars="0" w:right="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eastAsia="zh-CN"/>
        </w:rPr>
        <w:t>黄金制品进出口审批（受理、初审）</w:t>
      </w:r>
    </w:p>
    <w:p>
      <w:pPr>
        <w:pStyle w:val="15"/>
        <w:widowControl/>
        <w:numPr>
          <w:ilvl w:val="0"/>
          <w:numId w:val="8"/>
        </w:numPr>
        <w:wordWrap/>
        <w:adjustRightInd/>
        <w:snapToGrid/>
        <w:spacing w:beforeAutospacing="0" w:afterAutospacing="0" w:line="560" w:lineRule="exact"/>
        <w:ind w:left="0" w:leftChars="0" w:right="0" w:firstLine="640" w:firstLineChars="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rPr>
        <w:t>事项类别</w:t>
      </w:r>
    </w:p>
    <w:p>
      <w:pPr>
        <w:pStyle w:val="15"/>
        <w:widowControl/>
        <w:numPr>
          <w:ilvl w:val="0"/>
          <w:numId w:val="0"/>
        </w:numPr>
        <w:wordWrap/>
        <w:adjustRightInd/>
        <w:snapToGrid/>
        <w:spacing w:beforeAutospacing="0" w:afterAutospacing="0" w:line="560" w:lineRule="exact"/>
        <w:ind w:left="640" w:leftChars="0" w:right="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行政许可事项</w:t>
      </w:r>
      <w:r>
        <w:rPr>
          <w:rFonts w:hint="eastAsia" w:ascii="仿宋_GB2312" w:hAnsi="仿宋_GB2312" w:eastAsia="仿宋_GB2312" w:cs="仿宋_GB2312"/>
          <w:sz w:val="32"/>
          <w:szCs w:val="32"/>
          <w:lang w:eastAsia="zh-CN"/>
        </w:rPr>
        <w:t>（受理、初审）</w:t>
      </w:r>
    </w:p>
    <w:p>
      <w:pPr>
        <w:pStyle w:val="15"/>
        <w:widowControl/>
        <w:numPr>
          <w:ilvl w:val="0"/>
          <w:numId w:val="8"/>
        </w:numPr>
        <w:wordWrap/>
        <w:adjustRightInd/>
        <w:snapToGrid/>
        <w:spacing w:beforeAutospacing="0" w:afterAutospacing="0" w:line="560" w:lineRule="exact"/>
        <w:ind w:left="0" w:leftChars="0" w:right="0" w:firstLine="640" w:firstLineChars="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rPr>
        <w:t>办理依据</w:t>
      </w:r>
    </w:p>
    <w:p>
      <w:pPr>
        <w:pStyle w:val="15"/>
        <w:widowControl/>
        <w:numPr>
          <w:ilvl w:val="0"/>
          <w:numId w:val="0"/>
        </w:numPr>
        <w:wordWrap/>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sz w:val="32"/>
          <w:szCs w:val="32"/>
          <w:highlight w:val="none"/>
          <w:shd w:val="clear" w:color="auto" w:fill="FFFFFF"/>
          <w:lang w:val="zh-CN" w:eastAsia="zh-CN"/>
        </w:rPr>
        <w:t>《国务院</w:t>
      </w:r>
      <w:r>
        <w:rPr>
          <w:rFonts w:hint="eastAsia" w:ascii="仿宋_GB2312" w:hAnsi="仿宋_GB2312" w:eastAsia="仿宋_GB2312" w:cs="仿宋_GB2312"/>
          <w:sz w:val="32"/>
          <w:szCs w:val="32"/>
          <w:highlight w:val="none"/>
          <w:shd w:val="clear" w:color="auto" w:fill="FFFFFF"/>
          <w:lang w:val="en-US" w:eastAsia="zh-CN"/>
        </w:rPr>
        <w:t>对确需保留的行政审批项目设定行政许可的决定</w:t>
      </w:r>
      <w:r>
        <w:rPr>
          <w:rFonts w:hint="eastAsia" w:ascii="仿宋_GB2312" w:hAnsi="仿宋_GB2312" w:eastAsia="仿宋_GB2312" w:cs="仿宋_GB2312"/>
          <w:sz w:val="32"/>
          <w:szCs w:val="32"/>
          <w:highlight w:val="none"/>
          <w:shd w:val="clear" w:color="auto" w:fill="FFFFFF"/>
          <w:lang w:val="zh-CN" w:eastAsia="zh-CN"/>
        </w:rPr>
        <w:t>》（中华人民共和国国务院令第</w:t>
      </w:r>
      <w:r>
        <w:rPr>
          <w:rFonts w:hint="eastAsia" w:ascii="仿宋_GB2312" w:hAnsi="仿宋_GB2312" w:eastAsia="仿宋_GB2312" w:cs="仿宋_GB2312"/>
          <w:sz w:val="32"/>
          <w:szCs w:val="32"/>
          <w:highlight w:val="none"/>
          <w:shd w:val="clear" w:color="auto" w:fill="FFFFFF"/>
          <w:lang w:val="en-US" w:eastAsia="zh-CN"/>
        </w:rPr>
        <w:t>412号发布)、</w:t>
      </w:r>
      <w:r>
        <w:rPr>
          <w:rFonts w:hint="eastAsia" w:ascii="仿宋_GB2312" w:hAnsi="仿宋_GB2312" w:eastAsia="仿宋_GB2312" w:cs="仿宋_GB2312"/>
          <w:b w:val="0"/>
          <w:i w:val="0"/>
          <w:caps w:val="0"/>
          <w:color w:val="auto"/>
          <w:spacing w:val="0"/>
          <w:sz w:val="32"/>
          <w:szCs w:val="32"/>
          <w:lang w:eastAsia="zh-CN"/>
        </w:rPr>
        <w:t>《黄金及黄金制品进出口管理办法》（中国人民银行</w:t>
      </w:r>
      <w:r>
        <w:rPr>
          <w:rFonts w:hint="eastAsia" w:ascii="仿宋_GB2312" w:hAnsi="仿宋_GB2312" w:eastAsia="仿宋_GB2312" w:cs="仿宋_GB2312"/>
          <w:b w:val="0"/>
          <w:i w:val="0"/>
          <w:caps w:val="0"/>
          <w:color w:val="auto"/>
          <w:spacing w:val="0"/>
          <w:sz w:val="32"/>
          <w:szCs w:val="32"/>
          <w:lang w:val="en-US" w:eastAsia="zh-CN"/>
        </w:rPr>
        <w:t xml:space="preserve"> 海关总署令</w:t>
      </w:r>
      <w:r>
        <w:rPr>
          <w:rFonts w:hint="eastAsia" w:ascii="仿宋_GB2312" w:hAnsi="仿宋_GB2312" w:eastAsia="仿宋_GB2312" w:cs="仿宋_GB2312"/>
          <w:b w:val="0"/>
          <w:i w:val="0"/>
          <w:caps w:val="0"/>
          <w:color w:val="auto"/>
          <w:spacing w:val="0"/>
          <w:sz w:val="32"/>
          <w:szCs w:val="32"/>
        </w:rPr>
        <w:t>〔20</w:t>
      </w:r>
      <w:r>
        <w:rPr>
          <w:rFonts w:hint="eastAsia" w:ascii="仿宋_GB2312" w:hAnsi="仿宋_GB2312" w:eastAsia="仿宋_GB2312" w:cs="仿宋_GB2312"/>
          <w:b w:val="0"/>
          <w:i w:val="0"/>
          <w:caps w:val="0"/>
          <w:color w:val="auto"/>
          <w:spacing w:val="0"/>
          <w:sz w:val="32"/>
          <w:szCs w:val="32"/>
          <w:lang w:val="en-US" w:eastAsia="zh-CN"/>
        </w:rPr>
        <w:t>15</w:t>
      </w:r>
      <w:r>
        <w:rPr>
          <w:rFonts w:hint="eastAsia" w:ascii="仿宋_GB2312" w:hAnsi="仿宋_GB2312" w:eastAsia="仿宋_GB2312" w:cs="仿宋_GB2312"/>
          <w:b w:val="0"/>
          <w:i w:val="0"/>
          <w:caps w:val="0"/>
          <w:color w:val="auto"/>
          <w:spacing w:val="0"/>
          <w:sz w:val="32"/>
          <w:szCs w:val="32"/>
        </w:rPr>
        <w:t>〕</w:t>
      </w:r>
      <w:r>
        <w:rPr>
          <w:rFonts w:hint="eastAsia" w:ascii="仿宋_GB2312" w:hAnsi="仿宋_GB2312" w:eastAsia="仿宋_GB2312" w:cs="仿宋_GB2312"/>
          <w:b w:val="0"/>
          <w:i w:val="0"/>
          <w:caps w:val="0"/>
          <w:color w:val="auto"/>
          <w:spacing w:val="0"/>
          <w:sz w:val="32"/>
          <w:szCs w:val="32"/>
          <w:lang w:eastAsia="zh-CN"/>
        </w:rPr>
        <w:t>第</w:t>
      </w:r>
      <w:r>
        <w:rPr>
          <w:rFonts w:hint="eastAsia" w:ascii="仿宋_GB2312" w:hAnsi="仿宋_GB2312" w:eastAsia="仿宋_GB2312" w:cs="仿宋_GB2312"/>
          <w:b w:val="0"/>
          <w:i w:val="0"/>
          <w:caps w:val="0"/>
          <w:color w:val="auto"/>
          <w:spacing w:val="0"/>
          <w:sz w:val="32"/>
          <w:szCs w:val="32"/>
          <w:lang w:val="en-US" w:eastAsia="zh-CN"/>
        </w:rPr>
        <w:t>1</w:t>
      </w:r>
      <w:r>
        <w:rPr>
          <w:rFonts w:hint="eastAsia" w:ascii="仿宋_GB2312" w:hAnsi="仿宋_GB2312" w:eastAsia="仿宋_GB2312" w:cs="仿宋_GB2312"/>
          <w:b w:val="0"/>
          <w:i w:val="0"/>
          <w:caps w:val="0"/>
          <w:color w:val="auto"/>
          <w:spacing w:val="0"/>
          <w:sz w:val="32"/>
          <w:szCs w:val="32"/>
        </w:rPr>
        <w:t>号</w:t>
      </w:r>
      <w:r>
        <w:rPr>
          <w:rFonts w:hint="eastAsia" w:ascii="仿宋_GB2312" w:hAnsi="仿宋_GB2312" w:eastAsia="仿宋_GB2312" w:cs="仿宋_GB2312"/>
          <w:b w:val="0"/>
          <w:i w:val="0"/>
          <w:caps w:val="0"/>
          <w:color w:val="auto"/>
          <w:spacing w:val="0"/>
          <w:sz w:val="32"/>
          <w:szCs w:val="32"/>
          <w:lang w:eastAsia="zh-CN"/>
        </w:rPr>
        <w:t>发布）。</w:t>
      </w:r>
    </w:p>
    <w:p>
      <w:pPr>
        <w:pStyle w:val="15"/>
        <w:widowControl/>
        <w:numPr>
          <w:ilvl w:val="0"/>
          <w:numId w:val="8"/>
        </w:numPr>
        <w:wordWrap/>
        <w:adjustRightInd/>
        <w:snapToGrid/>
        <w:spacing w:beforeAutospacing="0" w:afterAutospacing="0" w:line="560" w:lineRule="exact"/>
        <w:ind w:left="0" w:leftChars="0" w:right="0" w:firstLine="640" w:firstLineChars="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rPr>
        <w:t>受理部门</w:t>
      </w:r>
    </w:p>
    <w:p>
      <w:pPr>
        <w:pStyle w:val="15"/>
        <w:widowControl/>
        <w:numPr>
          <w:ilvl w:val="0"/>
          <w:numId w:val="0"/>
        </w:numPr>
        <w:wordWrap/>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b w:val="0"/>
          <w:i w:val="0"/>
          <w:caps w:val="0"/>
          <w:color w:val="auto"/>
          <w:spacing w:val="0"/>
          <w:sz w:val="32"/>
          <w:szCs w:val="32"/>
        </w:rPr>
        <w:t>中国人民银行青岛市分行</w:t>
      </w:r>
      <w:r>
        <w:rPr>
          <w:rFonts w:hint="eastAsia" w:ascii="仿宋_GB2312" w:hAnsi="仿宋_GB2312" w:eastAsia="仿宋_GB2312" w:cs="仿宋_GB2312"/>
          <w:b w:val="0"/>
          <w:i w:val="0"/>
          <w:caps w:val="0"/>
          <w:color w:val="auto"/>
          <w:spacing w:val="0"/>
          <w:sz w:val="32"/>
          <w:szCs w:val="32"/>
          <w:lang w:eastAsia="zh-CN"/>
        </w:rPr>
        <w:t>货币金银</w:t>
      </w:r>
      <w:r>
        <w:rPr>
          <w:rFonts w:hint="eastAsia" w:ascii="仿宋_GB2312" w:hAnsi="仿宋_GB2312" w:eastAsia="仿宋_GB2312" w:cs="仿宋_GB2312"/>
          <w:b w:val="0"/>
          <w:i w:val="0"/>
          <w:caps w:val="0"/>
          <w:color w:val="auto"/>
          <w:spacing w:val="0"/>
          <w:sz w:val="32"/>
          <w:szCs w:val="32"/>
        </w:rPr>
        <w:t>处</w:t>
      </w:r>
    </w:p>
    <w:p>
      <w:pPr>
        <w:pStyle w:val="15"/>
        <w:widowControl/>
        <w:numPr>
          <w:ilvl w:val="0"/>
          <w:numId w:val="8"/>
        </w:numPr>
        <w:wordWrap/>
        <w:adjustRightInd/>
        <w:snapToGrid/>
        <w:spacing w:beforeAutospacing="0" w:afterAutospacing="0" w:line="560" w:lineRule="exact"/>
        <w:ind w:left="0" w:leftChars="0" w:right="0" w:firstLine="640" w:firstLineChars="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lang w:eastAsia="zh-CN"/>
        </w:rPr>
        <w:t>受理层级</w:t>
      </w:r>
    </w:p>
    <w:p>
      <w:pPr>
        <w:pStyle w:val="15"/>
        <w:widowControl/>
        <w:numPr>
          <w:ilvl w:val="0"/>
          <w:numId w:val="0"/>
        </w:numPr>
        <w:wordWrap/>
        <w:adjustRightInd/>
        <w:snapToGrid/>
        <w:spacing w:beforeAutospacing="0" w:afterAutospacing="0" w:line="560" w:lineRule="exact"/>
        <w:ind w:left="640" w:leftChars="0" w:right="0"/>
        <w:jc w:val="both"/>
        <w:textAlignment w:val="auto"/>
        <w:outlineLvl w:val="9"/>
        <w:rPr>
          <w:rFonts w:hint="eastAsia" w:ascii="黑体" w:hAnsi="黑体" w:eastAsia="黑体" w:cs="黑体"/>
          <w:b w:val="0"/>
          <w:i w:val="0"/>
          <w:caps w:val="0"/>
          <w:color w:val="auto"/>
          <w:spacing w:val="0"/>
          <w:sz w:val="32"/>
          <w:szCs w:val="32"/>
        </w:rPr>
      </w:pPr>
      <w:r>
        <w:rPr>
          <w:rFonts w:hint="eastAsia" w:ascii="仿宋_GB2312" w:hAnsi="仿宋_GB2312" w:eastAsia="仿宋_GB2312" w:cs="仿宋_GB2312"/>
          <w:color w:val="000000"/>
          <w:sz w:val="32"/>
          <w:szCs w:val="32"/>
          <w:lang w:val="en-US" w:eastAsia="zh-CN"/>
        </w:rPr>
        <w:t>青岛市本级、青岛市下辖各区、市</w:t>
      </w:r>
    </w:p>
    <w:p>
      <w:pPr>
        <w:pStyle w:val="15"/>
        <w:widowControl/>
        <w:numPr>
          <w:ilvl w:val="0"/>
          <w:numId w:val="8"/>
        </w:numPr>
        <w:wordWrap/>
        <w:adjustRightInd/>
        <w:snapToGrid/>
        <w:spacing w:beforeAutospacing="0" w:afterAutospacing="0" w:line="560" w:lineRule="exact"/>
        <w:ind w:left="0" w:leftChars="0" w:right="0" w:firstLine="640" w:firstLineChars="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rPr>
        <w:t>办理流程</w:t>
      </w:r>
    </w:p>
    <w:p>
      <w:pPr>
        <w:pStyle w:val="15"/>
        <w:widowControl/>
        <w:wordWrap/>
        <w:adjustRightInd/>
        <w:snapToGrid/>
        <w:spacing w:beforeAutospacing="0" w:afterAutospacing="0" w:line="560" w:lineRule="exact"/>
        <w:ind w:left="0" w:leftChars="0" w:right="0" w:firstLine="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i w:val="0"/>
          <w:caps w:val="0"/>
          <w:color w:val="auto"/>
          <w:spacing w:val="0"/>
          <w:sz w:val="32"/>
          <w:szCs w:val="32"/>
          <w:lang w:val="en-US" w:eastAsia="zh-CN"/>
        </w:rPr>
        <w:t xml:space="preserve">    （一）申请机构向中国人民银行青岛市分行现场或邮寄提交以下材料：</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1.</w:t>
      </w:r>
      <w:r>
        <w:rPr>
          <w:rFonts w:hint="eastAsia" w:ascii="仿宋_GB2312" w:hAnsi="仿宋_GB2312" w:eastAsia="仿宋_GB2312" w:cs="仿宋_GB2312"/>
          <w:b w:val="0"/>
          <w:i w:val="0"/>
          <w:caps w:val="0"/>
          <w:color w:val="auto"/>
          <w:spacing w:val="0"/>
          <w:sz w:val="32"/>
          <w:szCs w:val="32"/>
        </w:rPr>
        <w:t>书面申请，应当载明申请人的名称、住所(办公场所)、企业概况、进出口黄金制品的用途和计划数量等业务情况说明;</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2</w:t>
      </w:r>
      <w:r>
        <w:rPr>
          <w:rFonts w:hint="eastAsia" w:ascii="仿宋_GB2312" w:hAnsi="仿宋_GB2312" w:eastAsia="仿宋_GB2312" w:cs="仿宋_GB2312"/>
          <w:b w:val="0"/>
          <w:i w:val="0"/>
          <w:caps w:val="0"/>
          <w:color w:val="auto"/>
          <w:spacing w:val="0"/>
          <w:sz w:val="32"/>
          <w:szCs w:val="32"/>
          <w:highlight w:val="none"/>
          <w:lang w:val="en-US" w:eastAsia="zh-CN"/>
        </w:rPr>
        <w:t>.</w:t>
      </w:r>
      <w:r>
        <w:rPr>
          <w:rFonts w:hint="eastAsia" w:ascii="仿宋_GB2312" w:hAnsi="仿宋_GB2312" w:eastAsia="仿宋_GB2312" w:cs="仿宋_GB2312"/>
          <w:b w:val="0"/>
          <w:i w:val="0"/>
          <w:caps w:val="0"/>
          <w:color w:val="auto"/>
          <w:spacing w:val="0"/>
          <w:sz w:val="32"/>
          <w:szCs w:val="32"/>
          <w:highlight w:val="none"/>
        </w:rPr>
        <w:t>《黄金及黄金制品进出口申请表》;</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3.</w:t>
      </w:r>
      <w:r>
        <w:rPr>
          <w:rFonts w:hint="eastAsia" w:ascii="仿宋_GB2312" w:hAnsi="仿宋_GB2312" w:eastAsia="仿宋_GB2312" w:cs="仿宋_GB2312"/>
          <w:b w:val="0"/>
          <w:i w:val="0"/>
          <w:caps w:val="0"/>
          <w:color w:val="auto"/>
          <w:spacing w:val="0"/>
          <w:sz w:val="32"/>
          <w:szCs w:val="32"/>
        </w:rPr>
        <w:t>加盖公章的企业法人营业执照、事业单位法人证书等法定登记证书复印件;</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4.</w:t>
      </w:r>
      <w:r>
        <w:rPr>
          <w:rFonts w:hint="eastAsia" w:ascii="仿宋_GB2312" w:hAnsi="仿宋_GB2312" w:eastAsia="仿宋_GB2312" w:cs="仿宋_GB2312"/>
          <w:b w:val="0"/>
          <w:i w:val="0"/>
          <w:caps w:val="0"/>
          <w:color w:val="auto"/>
          <w:spacing w:val="0"/>
          <w:sz w:val="32"/>
          <w:szCs w:val="32"/>
        </w:rPr>
        <w:t>黄金制品进出口合同复印件;</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5.</w:t>
      </w:r>
      <w:r>
        <w:rPr>
          <w:rFonts w:hint="eastAsia" w:ascii="仿宋_GB2312" w:hAnsi="仿宋_GB2312" w:eastAsia="仿宋_GB2312" w:cs="仿宋_GB2312"/>
          <w:b w:val="0"/>
          <w:i w:val="0"/>
          <w:caps w:val="0"/>
          <w:color w:val="auto"/>
          <w:spacing w:val="0"/>
          <w:sz w:val="32"/>
          <w:szCs w:val="32"/>
        </w:rPr>
        <w:t>加盖备案登记章的《对外贸易经营者备案表》或《外商投资企业批准证书》;</w:t>
      </w:r>
    </w:p>
    <w:p>
      <w:pPr>
        <w:pStyle w:val="15"/>
        <w:widowControl/>
        <w:wordWrap/>
        <w:adjustRightInd/>
        <w:snapToGrid/>
        <w:spacing w:beforeAutospacing="0" w:afterAutospacing="0" w:line="560" w:lineRule="exact"/>
        <w:ind w:left="0" w:leftChars="0" w:right="0" w:firstLine="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6.</w:t>
      </w:r>
      <w:r>
        <w:rPr>
          <w:rFonts w:hint="eastAsia" w:ascii="仿宋_GB2312" w:hAnsi="仿宋_GB2312" w:eastAsia="仿宋_GB2312" w:cs="仿宋_GB2312"/>
          <w:b w:val="0"/>
          <w:i w:val="0"/>
          <w:caps w:val="0"/>
          <w:color w:val="auto"/>
          <w:spacing w:val="0"/>
          <w:sz w:val="32"/>
          <w:szCs w:val="32"/>
        </w:rPr>
        <w:t>申请人近2年有无违法行为的说明材料;</w:t>
      </w:r>
    </w:p>
    <w:p>
      <w:pPr>
        <w:pStyle w:val="15"/>
        <w:widowControl/>
        <w:wordWrap/>
        <w:adjustRightInd/>
        <w:snapToGrid/>
        <w:spacing w:beforeAutospacing="0" w:afterAutospacing="0" w:line="560" w:lineRule="exact"/>
        <w:ind w:left="0" w:leftChars="0" w:right="0" w:firstLine="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7.</w:t>
      </w:r>
      <w:r>
        <w:rPr>
          <w:rFonts w:hint="eastAsia" w:ascii="仿宋_GB2312" w:hAnsi="仿宋_GB2312" w:eastAsia="仿宋_GB2312" w:cs="仿宋_GB2312"/>
          <w:b w:val="0"/>
          <w:i w:val="0"/>
          <w:caps w:val="0"/>
          <w:color w:val="auto"/>
          <w:spacing w:val="0"/>
          <w:sz w:val="32"/>
          <w:szCs w:val="32"/>
        </w:rPr>
        <w:t>生产、加工或者使用黄金制品的企业还应当提交近3年的企业纳税记录，地市级环保部门出具的污染物排放许可证件和年度达标检测报告及其复印件;</w:t>
      </w:r>
    </w:p>
    <w:p>
      <w:pPr>
        <w:pStyle w:val="15"/>
        <w:widowControl/>
        <w:wordWrap/>
        <w:adjustRightInd/>
        <w:snapToGrid/>
        <w:spacing w:beforeAutospacing="0" w:afterAutospacing="0" w:line="560" w:lineRule="exact"/>
        <w:ind w:left="0" w:leftChars="0" w:right="0" w:firstLine="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8.</w:t>
      </w:r>
      <w:r>
        <w:rPr>
          <w:rFonts w:hint="eastAsia" w:ascii="仿宋_GB2312" w:hAnsi="仿宋_GB2312" w:eastAsia="仿宋_GB2312" w:cs="仿宋_GB2312"/>
          <w:b w:val="0"/>
          <w:i w:val="0"/>
          <w:caps w:val="0"/>
          <w:color w:val="auto"/>
          <w:spacing w:val="0"/>
          <w:sz w:val="32"/>
          <w:szCs w:val="32"/>
        </w:rPr>
        <w:t>从事外贸经营的企业还应当提交适用海关认证企业管理的有关证明材料、近3年的企业纳税记录;</w:t>
      </w:r>
    </w:p>
    <w:p>
      <w:pPr>
        <w:pStyle w:val="15"/>
        <w:widowControl/>
        <w:wordWrap/>
        <w:adjustRightInd/>
        <w:snapToGrid/>
        <w:spacing w:beforeAutospacing="0" w:afterAutospacing="0" w:line="560" w:lineRule="exact"/>
        <w:ind w:left="0" w:leftChars="0" w:right="0" w:firstLine="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9.</w:t>
      </w:r>
      <w:r>
        <w:rPr>
          <w:rFonts w:hint="eastAsia" w:ascii="仿宋_GB2312" w:hAnsi="仿宋_GB2312" w:eastAsia="仿宋_GB2312" w:cs="仿宋_GB2312"/>
          <w:b w:val="0"/>
          <w:i w:val="0"/>
          <w:caps w:val="0"/>
          <w:color w:val="auto"/>
          <w:spacing w:val="0"/>
          <w:sz w:val="32"/>
          <w:szCs w:val="32"/>
        </w:rPr>
        <w:t>教育机构、科学研究机构还应当提交承担国家科研项目、重点课题的证明材料;</w:t>
      </w:r>
    </w:p>
    <w:p>
      <w:pPr>
        <w:pStyle w:val="15"/>
        <w:widowControl/>
        <w:wordWrap/>
        <w:adjustRightInd/>
        <w:snapToGrid/>
        <w:spacing w:beforeAutospacing="0" w:afterAutospacing="0" w:line="560" w:lineRule="exact"/>
        <w:ind w:left="0" w:leftChars="0" w:right="0" w:firstLine="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10.</w:t>
      </w:r>
      <w:r>
        <w:rPr>
          <w:rFonts w:hint="eastAsia" w:ascii="仿宋_GB2312" w:hAnsi="仿宋_GB2312" w:eastAsia="仿宋_GB2312" w:cs="仿宋_GB2312"/>
          <w:b w:val="0"/>
          <w:i w:val="0"/>
          <w:caps w:val="0"/>
          <w:color w:val="auto"/>
          <w:spacing w:val="0"/>
          <w:sz w:val="32"/>
          <w:szCs w:val="32"/>
        </w:rPr>
        <w:t>出口黄金制品的企业还应当提交在国内取得黄金原料的增值税发票等证明材料。</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rPr>
        <w:t>前款其他材料未发生变更再次申请黄金制品进出口的，只需提交前款第二项和第四项材料，教育机构、科学研究机构还应当提交前款第九项材料，出口黄金制品的企业还应当提交前款第十项规定的有关材料;前款其他材料发生变更的，比照初次申请办理。</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val="en-US" w:eastAsia="zh-CN"/>
        </w:rPr>
      </w:pP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lang w:val="en-US" w:eastAsia="zh-CN"/>
        </w:rPr>
        <w:t>二</w:t>
      </w:r>
      <w:r>
        <w:rPr>
          <w:rFonts w:hint="eastAsia" w:ascii="仿宋_GB2312" w:hAnsi="仿宋_GB2312" w:eastAsia="仿宋_GB2312" w:cs="仿宋_GB2312"/>
          <w:b w:val="0"/>
          <w:i w:val="0"/>
          <w:caps w:val="0"/>
          <w:color w:val="auto"/>
          <w:spacing w:val="0"/>
          <w:sz w:val="32"/>
          <w:szCs w:val="32"/>
          <w:lang w:eastAsia="zh-CN"/>
        </w:rPr>
        <w:t>）中国</w:t>
      </w:r>
      <w:r>
        <w:rPr>
          <w:rFonts w:hint="eastAsia" w:ascii="仿宋_GB2312" w:hAnsi="仿宋_GB2312" w:eastAsia="仿宋_GB2312" w:cs="仿宋_GB2312"/>
          <w:b w:val="0"/>
          <w:i w:val="0"/>
          <w:caps w:val="0"/>
          <w:color w:val="auto"/>
          <w:spacing w:val="0"/>
          <w:sz w:val="32"/>
          <w:szCs w:val="32"/>
          <w:lang w:val="en-US" w:eastAsia="zh-CN"/>
        </w:rPr>
        <w:t>人民银行青岛市分行进行审查。</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lang w:val="en-US" w:eastAsia="zh-CN"/>
        </w:rPr>
        <w:t>三</w:t>
      </w:r>
      <w:r>
        <w:rPr>
          <w:rFonts w:hint="eastAsia" w:ascii="仿宋_GB2312" w:hAnsi="仿宋_GB2312" w:eastAsia="仿宋_GB2312" w:cs="仿宋_GB2312"/>
          <w:b w:val="0"/>
          <w:i w:val="0"/>
          <w:caps w:val="0"/>
          <w:color w:val="auto"/>
          <w:spacing w:val="0"/>
          <w:sz w:val="32"/>
          <w:szCs w:val="32"/>
          <w:lang w:eastAsia="zh-CN"/>
        </w:rPr>
        <w:t>）中国</w:t>
      </w:r>
      <w:r>
        <w:rPr>
          <w:rFonts w:hint="eastAsia" w:ascii="仿宋_GB2312" w:hAnsi="仿宋_GB2312" w:eastAsia="仿宋_GB2312" w:cs="仿宋_GB2312"/>
          <w:b w:val="0"/>
          <w:i w:val="0"/>
          <w:caps w:val="0"/>
          <w:color w:val="auto"/>
          <w:spacing w:val="0"/>
          <w:sz w:val="32"/>
          <w:szCs w:val="32"/>
          <w:lang w:val="en-US" w:eastAsia="zh-CN"/>
        </w:rPr>
        <w:t>人民银行青岛市分行</w:t>
      </w:r>
      <w:r>
        <w:rPr>
          <w:rFonts w:hint="eastAsia" w:ascii="仿宋_GB2312" w:hAnsi="仿宋_GB2312" w:eastAsia="仿宋_GB2312" w:cs="仿宋_GB2312"/>
          <w:b w:val="0"/>
          <w:i w:val="0"/>
          <w:caps w:val="0"/>
          <w:color w:val="auto"/>
          <w:spacing w:val="0"/>
          <w:sz w:val="32"/>
          <w:szCs w:val="32"/>
        </w:rPr>
        <w:t>将初步审查意见和全部申请材料报送</w:t>
      </w:r>
      <w:r>
        <w:rPr>
          <w:rFonts w:hint="eastAsia" w:ascii="仿宋_GB2312" w:hAnsi="仿宋_GB2312" w:eastAsia="仿宋_GB2312" w:cs="仿宋_GB2312"/>
          <w:b w:val="0"/>
          <w:i w:val="0"/>
          <w:caps w:val="0"/>
          <w:color w:val="auto"/>
          <w:spacing w:val="0"/>
          <w:sz w:val="32"/>
          <w:szCs w:val="32"/>
          <w:lang w:eastAsia="zh-CN"/>
        </w:rPr>
        <w:t>中国人民银行山东省分行。</w:t>
      </w:r>
    </w:p>
    <w:p>
      <w:pPr>
        <w:pStyle w:val="15"/>
        <w:widowControl/>
        <w:wordWrap/>
        <w:adjustRightInd/>
        <w:snapToGrid/>
        <w:spacing w:beforeAutospacing="0" w:afterAutospacing="0" w:line="560" w:lineRule="exact"/>
        <w:ind w:left="0" w:leftChars="0" w:right="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lang w:eastAsia="zh-CN"/>
        </w:rPr>
      </w:pPr>
      <w:r>
        <w:rPr>
          <w:rFonts w:hint="eastAsia" w:ascii="仿宋_GB2312" w:hAnsi="仿宋_GB2312" w:eastAsia="仿宋_GB2312" w:cs="仿宋_GB2312"/>
          <w:b w:val="0"/>
          <w:i w:val="0"/>
          <w:caps w:val="0"/>
          <w:color w:val="auto"/>
          <w:spacing w:val="0"/>
          <w:sz w:val="32"/>
          <w:szCs w:val="32"/>
          <w:lang w:eastAsia="zh-CN"/>
        </w:rPr>
        <w:t>（</w:t>
      </w:r>
      <w:r>
        <w:rPr>
          <w:rFonts w:hint="eastAsia" w:ascii="仿宋_GB2312" w:hAnsi="仿宋_GB2312" w:eastAsia="仿宋_GB2312" w:cs="仿宋_GB2312"/>
          <w:b w:val="0"/>
          <w:i w:val="0"/>
          <w:caps w:val="0"/>
          <w:color w:val="auto"/>
          <w:spacing w:val="0"/>
          <w:sz w:val="32"/>
          <w:szCs w:val="32"/>
          <w:lang w:val="en-US" w:eastAsia="zh-CN"/>
        </w:rPr>
        <w:t>四</w:t>
      </w:r>
      <w:r>
        <w:rPr>
          <w:rFonts w:hint="eastAsia" w:ascii="仿宋_GB2312" w:hAnsi="仿宋_GB2312" w:eastAsia="仿宋_GB2312" w:cs="仿宋_GB2312"/>
          <w:b w:val="0"/>
          <w:i w:val="0"/>
          <w:caps w:val="0"/>
          <w:color w:val="auto"/>
          <w:spacing w:val="0"/>
          <w:sz w:val="32"/>
          <w:szCs w:val="32"/>
          <w:lang w:eastAsia="zh-CN"/>
        </w:rPr>
        <w:t>）中国人民银行山东省分行根据</w:t>
      </w:r>
      <w:r>
        <w:rPr>
          <w:rFonts w:hint="eastAsia" w:ascii="仿宋_GB2312" w:hAnsi="仿宋_GB2312" w:eastAsia="仿宋_GB2312" w:cs="仿宋_GB2312"/>
          <w:b w:val="0"/>
          <w:i w:val="0"/>
          <w:caps w:val="0"/>
          <w:color w:val="auto"/>
          <w:spacing w:val="0"/>
          <w:sz w:val="32"/>
          <w:szCs w:val="32"/>
          <w:lang w:val="en-US" w:eastAsia="zh-CN"/>
        </w:rPr>
        <w:t>人民银行青岛市分行报送的</w:t>
      </w:r>
      <w:r>
        <w:rPr>
          <w:rFonts w:hint="eastAsia" w:ascii="仿宋_GB2312" w:hAnsi="仿宋_GB2312" w:eastAsia="仿宋_GB2312" w:cs="仿宋_GB2312"/>
          <w:b w:val="0"/>
          <w:i w:val="0"/>
          <w:caps w:val="0"/>
          <w:color w:val="auto"/>
          <w:spacing w:val="0"/>
          <w:sz w:val="32"/>
          <w:szCs w:val="32"/>
        </w:rPr>
        <w:t>初步审查意见和全部申请材料做出行政许可决定。</w:t>
      </w:r>
    </w:p>
    <w:p>
      <w:pPr>
        <w:pStyle w:val="15"/>
        <w:widowControl/>
        <w:wordWrap/>
        <w:adjustRightInd/>
        <w:snapToGrid/>
        <w:spacing w:beforeAutospacing="0" w:afterAutospacing="0" w:line="560" w:lineRule="exact"/>
        <w:ind w:left="0" w:leftChars="0" w:right="0" w:firstLine="64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lang w:eastAsia="zh-CN"/>
        </w:rPr>
        <w:t>七、</w:t>
      </w:r>
      <w:r>
        <w:rPr>
          <w:rFonts w:hint="eastAsia" w:ascii="黑体" w:hAnsi="黑体" w:eastAsia="黑体" w:cs="黑体"/>
          <w:b w:val="0"/>
          <w:i w:val="0"/>
          <w:caps w:val="0"/>
          <w:color w:val="auto"/>
          <w:spacing w:val="0"/>
          <w:sz w:val="32"/>
          <w:szCs w:val="32"/>
        </w:rPr>
        <w:t>办理时限</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中国人民银行青岛市分行自受理之日起20日内审查完毕，并将初步审查意见和申请材料移交山东省分行。中国人民银行山东省分行自收到申请材料和初步审查意见之日起20日内，作出是否准予行政许可的决定。</w:t>
      </w:r>
    </w:p>
    <w:p>
      <w:pPr>
        <w:wordWrap/>
        <w:adjustRightInd/>
        <w:snapToGrid/>
        <w:spacing w:line="560" w:lineRule="exact"/>
        <w:ind w:left="0" w:leftChars="0" w:firstLine="640" w:firstLineChars="20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sz w:val="32"/>
          <w:szCs w:val="32"/>
          <w:lang w:val="en-US" w:eastAsia="zh-CN"/>
        </w:rPr>
        <w:t>其中，《中国人民银行行政许可实施办法》（中国人民银行令〔2020〕第1号发布）第三十三条规定的相关程序不计入时限。</w:t>
      </w:r>
    </w:p>
    <w:p>
      <w:pPr>
        <w:pStyle w:val="15"/>
        <w:widowControl/>
        <w:numPr>
          <w:ilvl w:val="0"/>
          <w:numId w:val="0"/>
        </w:numPr>
        <w:wordWrap/>
        <w:adjustRightInd/>
        <w:snapToGrid/>
        <w:spacing w:beforeAutospacing="0" w:afterAutospacing="0" w:line="560" w:lineRule="exact"/>
        <w:ind w:left="640" w:leftChars="0" w:right="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lang w:eastAsia="zh-CN"/>
        </w:rPr>
        <w:t>八、</w:t>
      </w:r>
      <w:r>
        <w:rPr>
          <w:rFonts w:hint="eastAsia" w:ascii="黑体" w:hAnsi="黑体" w:eastAsia="黑体" w:cs="黑体"/>
          <w:b w:val="0"/>
          <w:i w:val="0"/>
          <w:caps w:val="0"/>
          <w:color w:val="auto"/>
          <w:spacing w:val="0"/>
          <w:sz w:val="32"/>
          <w:szCs w:val="32"/>
        </w:rPr>
        <w:t>收费标准</w:t>
      </w:r>
    </w:p>
    <w:p>
      <w:pPr>
        <w:pStyle w:val="15"/>
        <w:widowControl/>
        <w:numPr>
          <w:ilvl w:val="0"/>
          <w:numId w:val="0"/>
        </w:numPr>
        <w:wordWrap/>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b w:val="0"/>
          <w:i w:val="0"/>
          <w:caps w:val="0"/>
          <w:color w:val="auto"/>
          <w:spacing w:val="0"/>
          <w:sz w:val="32"/>
          <w:szCs w:val="32"/>
        </w:rPr>
        <w:t>不收费</w:t>
      </w:r>
    </w:p>
    <w:p>
      <w:pPr>
        <w:pStyle w:val="15"/>
        <w:widowControl/>
        <w:numPr>
          <w:ilvl w:val="0"/>
          <w:numId w:val="0"/>
        </w:numPr>
        <w:wordWrap/>
        <w:adjustRightInd/>
        <w:snapToGrid/>
        <w:spacing w:beforeAutospacing="0" w:afterAutospacing="0" w:line="560" w:lineRule="exact"/>
        <w:ind w:left="640" w:leftChars="0" w:right="0"/>
        <w:jc w:val="both"/>
        <w:textAlignment w:val="auto"/>
        <w:outlineLvl w:val="9"/>
        <w:rPr>
          <w:rFonts w:hint="eastAsia" w:ascii="黑体" w:hAnsi="黑体" w:eastAsia="黑体" w:cs="黑体"/>
          <w:b w:val="0"/>
          <w:i w:val="0"/>
          <w:caps w:val="0"/>
          <w:color w:val="auto"/>
          <w:spacing w:val="0"/>
          <w:sz w:val="32"/>
          <w:szCs w:val="32"/>
        </w:rPr>
      </w:pPr>
      <w:r>
        <w:rPr>
          <w:rFonts w:hint="eastAsia" w:ascii="黑体" w:hAnsi="黑体" w:eastAsia="黑体" w:cs="黑体"/>
          <w:b w:val="0"/>
          <w:i w:val="0"/>
          <w:caps w:val="0"/>
          <w:color w:val="auto"/>
          <w:spacing w:val="0"/>
          <w:sz w:val="32"/>
          <w:szCs w:val="32"/>
          <w:lang w:eastAsia="zh-CN"/>
        </w:rPr>
        <w:t>九、</w:t>
      </w:r>
      <w:r>
        <w:rPr>
          <w:rFonts w:hint="eastAsia" w:ascii="黑体" w:hAnsi="黑体" w:eastAsia="黑体" w:cs="黑体"/>
          <w:b w:val="0"/>
          <w:i w:val="0"/>
          <w:caps w:val="0"/>
          <w:color w:val="auto"/>
          <w:spacing w:val="0"/>
          <w:sz w:val="32"/>
          <w:szCs w:val="32"/>
        </w:rPr>
        <w:t>咨询</w:t>
      </w:r>
      <w:r>
        <w:rPr>
          <w:rFonts w:hint="eastAsia" w:ascii="黑体" w:hAnsi="黑体" w:eastAsia="黑体" w:cs="黑体"/>
          <w:b w:val="0"/>
          <w:i w:val="0"/>
          <w:caps w:val="0"/>
          <w:color w:val="auto"/>
          <w:spacing w:val="0"/>
          <w:sz w:val="32"/>
          <w:szCs w:val="32"/>
          <w:lang w:eastAsia="zh-CN"/>
        </w:rPr>
        <w:t>渠道</w:t>
      </w:r>
    </w:p>
    <w:p>
      <w:pPr>
        <w:pStyle w:val="15"/>
        <w:widowControl/>
        <w:numPr>
          <w:ilvl w:val="0"/>
          <w:numId w:val="0"/>
        </w:numPr>
        <w:wordWrap/>
        <w:adjustRightInd/>
        <w:snapToGrid/>
        <w:spacing w:beforeAutospacing="0" w:afterAutospacing="0" w:line="560" w:lineRule="exact"/>
        <w:ind w:right="0"/>
        <w:jc w:val="both"/>
        <w:textAlignment w:val="auto"/>
        <w:outlineLvl w:val="9"/>
        <w:rPr>
          <w:rFonts w:hint="eastAsia" w:ascii="仿宋_GB2312" w:hAnsi="仿宋_GB2312" w:eastAsia="仿宋_GB2312" w:cs="仿宋_GB2312"/>
          <w:b w:val="0"/>
          <w:i w:val="0"/>
          <w:caps w:val="0"/>
          <w:color w:val="auto"/>
          <w:spacing w:val="0"/>
          <w:sz w:val="32"/>
          <w:szCs w:val="32"/>
        </w:rPr>
      </w:pPr>
      <w:r>
        <w:rPr>
          <w:rFonts w:hint="eastAsia" w:ascii="仿宋_GB2312" w:hAnsi="仿宋_GB2312" w:eastAsia="仿宋_GB2312" w:cs="仿宋_GB2312"/>
          <w:b w:val="0"/>
          <w:i w:val="0"/>
          <w:caps w:val="0"/>
          <w:color w:val="auto"/>
          <w:spacing w:val="0"/>
          <w:sz w:val="32"/>
          <w:szCs w:val="32"/>
          <w:lang w:val="en-US" w:eastAsia="zh-CN"/>
        </w:rPr>
        <w:t xml:space="preserve">    </w:t>
      </w:r>
      <w:r>
        <w:rPr>
          <w:rFonts w:hint="eastAsia" w:ascii="仿宋_GB2312" w:hAnsi="仿宋_GB2312" w:eastAsia="仿宋_GB2312" w:cs="仿宋_GB2312"/>
          <w:b w:val="0"/>
          <w:i w:val="0"/>
          <w:caps w:val="0"/>
          <w:color w:val="auto"/>
          <w:spacing w:val="0"/>
          <w:sz w:val="32"/>
          <w:szCs w:val="32"/>
        </w:rPr>
        <w:t>0532-</w:t>
      </w:r>
      <w:r>
        <w:rPr>
          <w:rFonts w:hint="eastAsia" w:ascii="仿宋_GB2312" w:hAnsi="仿宋_GB2312" w:eastAsia="仿宋_GB2312" w:cs="仿宋_GB2312"/>
          <w:b w:val="0"/>
          <w:i w:val="0"/>
          <w:caps w:val="0"/>
          <w:color w:val="auto"/>
          <w:spacing w:val="0"/>
          <w:sz w:val="32"/>
          <w:szCs w:val="32"/>
          <w:lang w:val="en-US" w:eastAsia="zh-CN"/>
        </w:rPr>
        <w:t>68013965</w:t>
      </w:r>
    </w:p>
    <w:p>
      <w:pPr>
        <w:widowControl w:val="0"/>
        <w:wordWrap/>
        <w:adjustRightInd/>
        <w:snapToGrid/>
        <w:spacing w:line="240" w:lineRule="auto"/>
        <w:ind w:left="0" w:leftChars="0" w:right="0" w:firstLine="0" w:firstLineChars="0"/>
        <w:jc w:val="center"/>
        <w:textAlignment w:val="auto"/>
        <w:outlineLvl w:val="9"/>
        <w:rPr>
          <w:rFonts w:hint="eastAsia" w:ascii="黑体" w:hAnsi="黑体" w:eastAsia="黑体" w:cs="黑体"/>
          <w:color w:val="000000"/>
          <w:sz w:val="48"/>
          <w:szCs w:val="48"/>
          <w:lang w:val="en-US" w:eastAsia="zh-CN"/>
        </w:rPr>
      </w:pPr>
    </w:p>
    <w:p>
      <w:pPr>
        <w:rPr>
          <w:lang w:val="en-US"/>
        </w:rPr>
      </w:pPr>
    </w:p>
    <w:p>
      <w:pPr>
        <w:rPr>
          <w:lang w:val="en-US"/>
        </w:rPr>
      </w:pPr>
    </w:p>
    <w:sectPr>
      <w:footerReference r:id="rId6"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思源黑体 Normal">
    <w:altName w:val="黑体"/>
    <w:panose1 w:val="00000000000000000000"/>
    <w:charset w:val="80"/>
    <w:family w:val="swiss"/>
    <w:pitch w:val="default"/>
    <w:sig w:usb0="00000000" w:usb1="00000000" w:usb2="00000016" w:usb3="00000000" w:csb0="602E0107" w:csb1="00000000"/>
  </w:font>
  <w:font w:name="仿宋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TkJoa8BAABMAwAADgAAAGRycy9lMm9Eb2MueG1srVPNahsxEL4H+g5C&#10;91prF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O/UOK4xRHtH/7sH5/3T7/J9Dz3pw+xxrTbgIlp+OYHnPPoj+jMsgcFNn9R&#10;EME4dnp36q4cEhH50Xw2n1cYEhgbL4jPXp8HiOm79JZko6GA4ytd5dubmA6pY0qu5vyVNqaM0Lh3&#10;DsTMHpa5HzhmKw2r4Sho5dsd6ulx8g11uJqUmGuHjc1LMhowGqvR2ATQ665sUa4Xw9dNQhKFW65w&#10;gD0WxpEVdcf1yjvx9l6yXn+C5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0TkJoa8BAABM&#10;AwAADgAAAAAAAAABACAAAAAeAQAAZHJzL2Uyb0RvYy54bWxQSwUGAAAAAAYABgBZAQAAP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cJ4ua8BAABMAwAADgAAAGRycy9lMm9Eb2MueG1srVPNahsxEL4H+g5C&#10;91prU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O/UOK4xRHtH/7sH5/3T7/J9Dz3pw+xxrTbgIlp+OYHnPPoj+jMsgcFNn9R&#10;EME4dnp36q4cEhH50Xw2n1cYEhgbL4jPXp8HiOm79JZko6GA4ytd5dubmA6pY0qu5vyVNqaM0Lh3&#10;DsTMHpa5HzhmKw2r4Sho5dsd6ulx8g11uJqUmGuHjc1LMhowGqvR2ATQ665sUa4Xw9dNQhKFW65w&#10;gD0WxpEVdcf1yjvx9l6yXn+C5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TcJ4ua8BAABM&#10;AwAADgAAAAAAAAABACAAAAAeAQAAZHJzL2Uyb0RvYy54bWxQSwUGAAAAAAYABgBZAQAAP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15730"/>
    <w:multiLevelType w:val="singleLevel"/>
    <w:tmpl w:val="65015730"/>
    <w:lvl w:ilvl="0" w:tentative="0">
      <w:start w:val="1"/>
      <w:numFmt w:val="chineseCounting"/>
      <w:suff w:val="nothing"/>
      <w:lvlText w:val="%1、"/>
      <w:lvlJc w:val="left"/>
    </w:lvl>
  </w:abstractNum>
  <w:abstractNum w:abstractNumId="1">
    <w:nsid w:val="6502644F"/>
    <w:multiLevelType w:val="singleLevel"/>
    <w:tmpl w:val="6502644F"/>
    <w:lvl w:ilvl="0" w:tentative="0">
      <w:start w:val="7"/>
      <w:numFmt w:val="chineseCounting"/>
      <w:suff w:val="nothing"/>
      <w:lvlText w:val="（%1）"/>
      <w:lvlJc w:val="left"/>
    </w:lvl>
  </w:abstractNum>
  <w:abstractNum w:abstractNumId="2">
    <w:nsid w:val="6520CD5C"/>
    <w:multiLevelType w:val="singleLevel"/>
    <w:tmpl w:val="6520CD5C"/>
    <w:lvl w:ilvl="0" w:tentative="0">
      <w:start w:val="1"/>
      <w:numFmt w:val="chineseCounting"/>
      <w:suff w:val="nothing"/>
      <w:lvlText w:val="（%1）"/>
      <w:lvlJc w:val="left"/>
    </w:lvl>
  </w:abstractNum>
  <w:abstractNum w:abstractNumId="3">
    <w:nsid w:val="6520CEA8"/>
    <w:multiLevelType w:val="singleLevel"/>
    <w:tmpl w:val="6520CEA8"/>
    <w:lvl w:ilvl="0" w:tentative="0">
      <w:start w:val="2"/>
      <w:numFmt w:val="decimal"/>
      <w:suff w:val="nothing"/>
      <w:lvlText w:val="%1."/>
      <w:lvlJc w:val="left"/>
    </w:lvl>
  </w:abstractNum>
  <w:abstractNum w:abstractNumId="4">
    <w:nsid w:val="6520D371"/>
    <w:multiLevelType w:val="singleLevel"/>
    <w:tmpl w:val="6520D371"/>
    <w:lvl w:ilvl="0" w:tentative="0">
      <w:start w:val="4"/>
      <w:numFmt w:val="chineseCounting"/>
      <w:suff w:val="nothing"/>
      <w:lvlText w:val="（%1）"/>
      <w:lvlJc w:val="left"/>
    </w:lvl>
  </w:abstractNum>
  <w:abstractNum w:abstractNumId="5">
    <w:nsid w:val="679337D1"/>
    <w:multiLevelType w:val="singleLevel"/>
    <w:tmpl w:val="679337D1"/>
    <w:lvl w:ilvl="0" w:tentative="0">
      <w:start w:val="5"/>
      <w:numFmt w:val="chineseCounting"/>
      <w:suff w:val="nothing"/>
      <w:lvlText w:val="%1、"/>
      <w:lvlJc w:val="left"/>
    </w:lvl>
  </w:abstractNum>
  <w:abstractNum w:abstractNumId="6">
    <w:nsid w:val="67933816"/>
    <w:multiLevelType w:val="singleLevel"/>
    <w:tmpl w:val="67933816"/>
    <w:lvl w:ilvl="0" w:tentative="0">
      <w:start w:val="5"/>
      <w:numFmt w:val="chineseCounting"/>
      <w:suff w:val="nothing"/>
      <w:lvlText w:val="%1、"/>
      <w:lvlJc w:val="left"/>
    </w:lvl>
  </w:abstractNum>
  <w:abstractNum w:abstractNumId="7">
    <w:nsid w:val="67933849"/>
    <w:multiLevelType w:val="singleLevel"/>
    <w:tmpl w:val="67933849"/>
    <w:lvl w:ilvl="0" w:tentative="0">
      <w:start w:val="4"/>
      <w:numFmt w:val="chineseCounting"/>
      <w:suff w:val="nothing"/>
      <w:lvlText w:val="%1、"/>
      <w:lvlJc w:val="left"/>
    </w:lvl>
  </w:abstractNum>
  <w:num w:numId="1">
    <w:abstractNumId w:val="5"/>
  </w:num>
  <w:num w:numId="2">
    <w:abstractNumId w:val="1"/>
  </w:num>
  <w:num w:numId="3">
    <w:abstractNumId w:val="6"/>
  </w:num>
  <w:num w:numId="4">
    <w:abstractNumId w:val="7"/>
  </w:num>
  <w:num w:numId="5">
    <w:abstractNumId w:val="2"/>
  </w:num>
  <w:num w:numId="6">
    <w:abstractNumId w:val="3"/>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49972FB"/>
    <w:rsid w:val="05EC579C"/>
    <w:rsid w:val="076C47FF"/>
    <w:rsid w:val="08793898"/>
    <w:rsid w:val="09340A47"/>
    <w:rsid w:val="0C56451F"/>
    <w:rsid w:val="0F5242B1"/>
    <w:rsid w:val="12D35A65"/>
    <w:rsid w:val="15B77055"/>
    <w:rsid w:val="1CF96BBB"/>
    <w:rsid w:val="1DCC27CA"/>
    <w:rsid w:val="1F6A7E36"/>
    <w:rsid w:val="22AC052C"/>
    <w:rsid w:val="26B3413C"/>
    <w:rsid w:val="27B6151D"/>
    <w:rsid w:val="29AA4FC9"/>
    <w:rsid w:val="2E4E27DB"/>
    <w:rsid w:val="30D61EB1"/>
    <w:rsid w:val="31D96C3F"/>
    <w:rsid w:val="37D9505C"/>
    <w:rsid w:val="3B81065B"/>
    <w:rsid w:val="3CEA242D"/>
    <w:rsid w:val="3CEE3A49"/>
    <w:rsid w:val="403B4E32"/>
    <w:rsid w:val="40923C9B"/>
    <w:rsid w:val="4193388E"/>
    <w:rsid w:val="43E879E7"/>
    <w:rsid w:val="447D27CD"/>
    <w:rsid w:val="485C3E7C"/>
    <w:rsid w:val="4CCB7744"/>
    <w:rsid w:val="4CF11A79"/>
    <w:rsid w:val="4D43032C"/>
    <w:rsid w:val="507C271B"/>
    <w:rsid w:val="50F45AC5"/>
    <w:rsid w:val="555776E7"/>
    <w:rsid w:val="59811D27"/>
    <w:rsid w:val="5CAF4227"/>
    <w:rsid w:val="5DC1366D"/>
    <w:rsid w:val="5E662ECB"/>
    <w:rsid w:val="62901BC4"/>
    <w:rsid w:val="69F941A4"/>
    <w:rsid w:val="6B893194"/>
    <w:rsid w:val="6BBF6CED"/>
    <w:rsid w:val="6E396A41"/>
    <w:rsid w:val="6EC00725"/>
    <w:rsid w:val="7147466D"/>
    <w:rsid w:val="734A5610"/>
    <w:rsid w:val="7473673D"/>
    <w:rsid w:val="7D7F23D2"/>
    <w:rsid w:val="7DFA354E"/>
    <w:rsid w:val="7E501580"/>
    <w:rsid w:val="7F6A06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9"/>
    <w:qFormat/>
    <w:uiPriority w:val="9"/>
    <w:pPr>
      <w:keepNext/>
      <w:keepLines/>
      <w:spacing w:before="100" w:beforeLines="0" w:beforeAutospacing="0" w:after="90" w:afterLines="0" w:afterAutospacing="0" w:line="520" w:lineRule="exact"/>
      <w:jc w:val="center"/>
      <w:outlineLvl w:val="0"/>
    </w:pPr>
    <w:rPr>
      <w:rFonts w:ascii="Times New Roman" w:hAnsi="Times New Roman" w:eastAsia="黑体"/>
      <w:kern w:val="44"/>
      <w:sz w:val="44"/>
    </w:rPr>
  </w:style>
  <w:style w:type="character" w:default="1" w:styleId="17">
    <w:name w:val="Default Paragraph Font"/>
    <w:qFormat/>
    <w:uiPriority w:val="0"/>
  </w:style>
  <w:style w:type="table" w:default="1" w:styleId="16">
    <w:name w:val="Normal Table"/>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ind w:left="2520" w:leftChars="1200"/>
    </w:pPr>
  </w:style>
  <w:style w:type="paragraph" w:styleId="4">
    <w:name w:val="Body Text"/>
    <w:basedOn w:val="1"/>
    <w:unhideWhenUsed/>
    <w:qFormat/>
    <w:uiPriority w:val="99"/>
    <w:pPr>
      <w:pBdr>
        <w:top w:val="none" w:color="auto" w:sz="0" w:space="0"/>
        <w:left w:val="none" w:color="auto" w:sz="0" w:space="0"/>
        <w:bottom w:val="none" w:color="auto" w:sz="0" w:space="0"/>
        <w:right w:val="none" w:color="auto" w:sz="0" w:space="0"/>
        <w:between w:val="none" w:color="auto" w:sz="0" w:space="0"/>
      </w:pBdr>
      <w:shd w:val="clear" w:color="auto" w:fill="auto"/>
      <w:ind w:left="120"/>
      <w:jc w:val="left"/>
    </w:pPr>
    <w:rPr>
      <w:rFonts w:ascii="思源黑体 Normal" w:hAnsi="思源黑体 Normal" w:eastAsia="思源黑体 Normal"/>
      <w:kern w:val="0"/>
      <w:sz w:val="30"/>
      <w:szCs w:val="30"/>
      <w:lang w:val="en-US" w:eastAsia="en-US"/>
    </w:rPr>
  </w:style>
  <w:style w:type="paragraph" w:styleId="5">
    <w:name w:val="toc 5"/>
    <w:basedOn w:val="1"/>
    <w:next w:val="1"/>
    <w:unhideWhenUsed/>
    <w:qFormat/>
    <w:uiPriority w:val="39"/>
    <w:pPr>
      <w:ind w:left="1680" w:leftChars="800"/>
    </w:pPr>
  </w:style>
  <w:style w:type="paragraph" w:styleId="6">
    <w:name w:val="toc 3"/>
    <w:basedOn w:val="1"/>
    <w:next w:val="1"/>
    <w:unhideWhenUsed/>
    <w:qFormat/>
    <w:uiPriority w:val="39"/>
    <w:pPr>
      <w:ind w:left="840" w:leftChars="400"/>
    </w:pPr>
  </w:style>
  <w:style w:type="paragraph" w:styleId="7">
    <w:name w:val="toc 8"/>
    <w:basedOn w:val="1"/>
    <w:next w:val="1"/>
    <w:unhideWhenUsed/>
    <w:qFormat/>
    <w:uiPriority w:val="39"/>
    <w:pPr>
      <w:ind w:left="2940" w:leftChars="1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0">
    <w:name w:val="toc 1"/>
    <w:basedOn w:val="1"/>
    <w:next w:val="1"/>
    <w:unhideWhenUsed/>
    <w:qFormat/>
    <w:uiPriority w:val="39"/>
  </w:style>
  <w:style w:type="paragraph" w:styleId="11">
    <w:name w:val="toc 4"/>
    <w:basedOn w:val="1"/>
    <w:next w:val="1"/>
    <w:unhideWhenUsed/>
    <w:qFormat/>
    <w:uiPriority w:val="39"/>
    <w:pPr>
      <w:ind w:left="1260" w:leftChars="600"/>
    </w:pPr>
  </w:style>
  <w:style w:type="paragraph" w:styleId="12">
    <w:name w:val="toc 6"/>
    <w:basedOn w:val="1"/>
    <w:next w:val="1"/>
    <w:unhideWhenUsed/>
    <w:qFormat/>
    <w:uiPriority w:val="39"/>
    <w:pPr>
      <w:ind w:left="2100" w:leftChars="1000"/>
    </w:pPr>
  </w:style>
  <w:style w:type="paragraph" w:styleId="13">
    <w:name w:val="toc 2"/>
    <w:basedOn w:val="1"/>
    <w:next w:val="1"/>
    <w:unhideWhenUsed/>
    <w:qFormat/>
    <w:uiPriority w:val="39"/>
    <w:pPr>
      <w:ind w:left="420" w:leftChars="200"/>
    </w:pPr>
  </w:style>
  <w:style w:type="paragraph" w:styleId="14">
    <w:name w:val="toc 9"/>
    <w:basedOn w:val="1"/>
    <w:next w:val="1"/>
    <w:unhideWhenUsed/>
    <w:qFormat/>
    <w:uiPriority w:val="39"/>
    <w:pPr>
      <w:ind w:left="3360" w:leftChars="1600"/>
    </w:pPr>
  </w:style>
  <w:style w:type="paragraph" w:styleId="15">
    <w:name w:val="Normal (Web)"/>
    <w:basedOn w:val="1"/>
    <w:unhideWhenUsed/>
    <w:qFormat/>
    <w:uiPriority w:val="99"/>
    <w:pPr>
      <w:spacing w:before="100" w:beforeLines="0" w:beforeAutospacing="1" w:after="100" w:afterLines="0" w:afterAutospacing="1"/>
      <w:ind w:left="0" w:right="0"/>
      <w:jc w:val="left"/>
    </w:pPr>
    <w:rPr>
      <w:kern w:val="0"/>
      <w:sz w:val="24"/>
      <w:lang w:val="en-US" w:eastAsia="zh-CN" w:bidi="ar-SA"/>
    </w:rPr>
  </w:style>
  <w:style w:type="paragraph" w:customStyle="1" w:styleId="18">
    <w:name w:val="样式1"/>
    <w:basedOn w:val="2"/>
    <w:qFormat/>
    <w:uiPriority w:val="0"/>
    <w:rPr>
      <w:sz w:val="44"/>
    </w:rPr>
  </w:style>
  <w:style w:type="character" w:customStyle="1" w:styleId="19">
    <w:name w:val="标题 1 Char"/>
    <w:link w:val="2"/>
    <w:qFormat/>
    <w:uiPriority w:val="9"/>
    <w:rPr>
      <w:rFonts w:ascii="Times New Roman" w:hAnsi="Times New Roman" w:eastAsia="黑体"/>
      <w:kern w:val="44"/>
      <w:sz w:val="44"/>
    </w:rPr>
  </w:style>
  <w:style w:type="paragraph" w:customStyle="1" w:styleId="20">
    <w:name w:val="Table Paragraph"/>
    <w:basedOn w:val="1"/>
    <w:qFormat/>
    <w:uiPriority w:val="1"/>
    <w:pPr>
      <w:pBdr>
        <w:top w:val="none" w:color="auto" w:sz="0" w:space="0"/>
        <w:left w:val="none" w:color="auto" w:sz="0" w:space="0"/>
        <w:bottom w:val="none" w:color="auto" w:sz="0" w:space="0"/>
        <w:right w:val="none" w:color="auto" w:sz="0" w:space="0"/>
        <w:between w:val="none" w:color="auto" w:sz="0" w:space="0"/>
      </w:pBdr>
      <w:shd w:val="clear" w:color="auto" w:fill="auto"/>
      <w:jc w:val="left"/>
    </w:pPr>
    <w:rPr>
      <w:rFonts w:eastAsia="Calibri"/>
      <w:kern w:val="0"/>
      <w:sz w:val="22"/>
      <w:lang w:val="en-US" w:eastAsia="en-US"/>
    </w:rPr>
  </w:style>
  <w:style w:type="character" w:customStyle="1" w:styleId="21">
    <w:name w:val="fontstyle01"/>
    <w:basedOn w:val="17"/>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8223</Words>
  <Characters>8399</Characters>
  <Lines>0</Lines>
  <Paragraphs>0</Paragraphs>
  <TotalTime>9</TotalTime>
  <ScaleCrop>false</ScaleCrop>
  <LinksUpToDate>false</LinksUpToDate>
  <CharactersWithSpaces>8534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2023-11-01T02:28:00Z</dcterms:created>
  <dc:creator>Administrator</dc:creator>
  <cp:lastModifiedBy>王冉冉</cp:lastModifiedBy>
  <cp:lastPrinted>2025-03-03T06:16:00Z</cp:lastPrinted>
  <dcterms:modified xsi:type="dcterms:W3CDTF">2025-03-05T08:26:23Z</dcterms:modified>
  <dc:title>中国人民银行青岛市分行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