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楷体_GB2312" w:eastAsia="楷体_GB2312" w:cs="楷体_GB2312"/>
          <w:color w:val="000000"/>
          <w:sz w:val="28"/>
          <w:szCs w:val="28"/>
        </w:rPr>
        <w:t>中国人民银行</w:t>
      </w:r>
      <w:r>
        <w:rPr>
          <w:rFonts w:hint="eastAsia" w:ascii="楷体_GB2312" w:eastAsia="楷体_GB2312" w:cs="楷体_GB2312"/>
          <w:color w:val="000000"/>
          <w:sz w:val="28"/>
          <w:szCs w:val="28"/>
          <w:lang w:val="en-US" w:eastAsia="zh-CN"/>
        </w:rPr>
        <w:t>青岛市分行</w:t>
      </w:r>
      <w:r>
        <w:rPr>
          <w:rFonts w:hint="eastAsia" w:ascii="楷体_GB2312" w:eastAsia="楷体_GB2312" w:cs="楷体_GB2312"/>
          <w:color w:val="000000"/>
          <w:sz w:val="28"/>
          <w:szCs w:val="28"/>
        </w:rPr>
        <w:t xml:space="preserve">行政许可事项服务指南 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                    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 xml:space="preserve">    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中国人民银行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青岛市分行非银行支付机构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设立初审事项服务指南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    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黑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88.95pt;width:95.05pt;rotation:0f;" o:ole="f" fillcolor="#FFFFFF" filled="f" o:preferrelative="t" stroked="f" coordorigin="0,0" coordsize="21600,21600">
            <v:fill on="f" color2="#FFFFFF" focus="0%"/>
            <v:imagedata gain="65536f" blacklevel="0f" gamma="0" chromakey="#FEFEFE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>
      <w:pPr>
        <w:pStyle w:val="8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1680" w:firstLine="42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实施日期：自发布之日起</w:t>
      </w:r>
    </w:p>
    <w:p>
      <w:pPr>
        <w:ind w:left="1680" w:leftChars="0" w:firstLine="420" w:firstLineChars="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发布机构：中国人民银行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青岛市分行</w:t>
      </w:r>
    </w:p>
    <w:p>
      <w:pPr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一、适用范围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本指南适用于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设立住所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青岛市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法人非银行支付机构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事项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审查类型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前审后批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三、审批依据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中国人民银行法》第四条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“中国人民银行履行下列职责：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（九）维护支付、清算系统的正常运行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非银行支付机构监督管理条例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》（中华人民共和国国务院令 第768号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条规定：“设立非银行支付机构，应当经中国人民银行批准，取得支付业务许可。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未经依法批准，任何单位和个人不得从事或者变相从事支付业务，不得在单位名称和经营范围中使用“支付”字样，法律、行政法规和国家另有规定的除外。”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四、受理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机构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五、审核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机构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青岛市分行初审，中国人民银行复审。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、决定机构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总行。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数量限制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无数量限制。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申请条件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（一）申请人条件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设立非银行支付机构，应当符合《中华人民共和国公司法》的规定，并具备以下条件：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有符合本条例规定的注册资本；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主要股东、实际控制人财务状况和诚信记录良好，最近3年无重大违法违规记录；主要股东、实际控制人为公司的，其股权结构应当清晰透明，不存在权属纠纷；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拟任董事、监事和高级管理人员熟悉相关法律法规，具有履行职责所需的经营管理能力，最近3年无重大违法违规记录；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有符合规定的经营场所、安全保障措施以及业务系统、设施和技术；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有健全的公司治理结构、内部控制和风险管理制度、退出预案以及用户权益保障机制；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法律、行政法规以及中国人民银行规章规定的其他审慎性条件。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（二）符合如下条件的，准予批准：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1.申请人满足《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非银行支付机构监督管理条例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》、《非金融机构支付服务管理办法实施细则》（中国人民银行令〔2024〕第4号）相关规定，提交的申请材料齐全、符合法定形式。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2.符合支付行业发展状况和趋势。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3.符合国家政策导向。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（三）有如下情形之一的，不予批准：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1.申请人提交的申请材料不齐全、或不符合法定形式、或存在明显错误、可信性较差；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2.申请不符合法定条件、标准；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3.不符合支付行业发展状况和趋势、或不符合国家政策导向的。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、申请材料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人可向中国人民银行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支付结算处现场提交以下纸质申请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书面申请，载明申请人拟设立非银行支付机构的名称、住所、注册资本、拟申请支付业务类型、经营地域范围等。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公司章程草案。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验资证明或者公司资本情况材料。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主要股东、实际控制人材料。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拟任董事、监事和高级管理人员材料。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拟设立非银行支付机构的组织机构设置方案、内部控制制度、风险管理制度、退出预案以及用户合法权益保障机制材料。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支付业务发展规划和可行性研究报告。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反洗钱和反恐怖融资措施材料。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支付业务设施材料。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有符合规定的经营场所材料。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申请材料真实性声明。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、申请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接收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（一）接收方式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支付结算处现场接收申请材料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（二）接收地址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山东省青岛市市南区延安三路208号。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办理方式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（一）接收申请材料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支付结算处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申请人提交的申请材料，并清点材料数量。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2.清点无误的，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支付结算处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向申请人出具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申请材料接收凭证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（二）出具受理意见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对申请材料进行初步审核，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视以下不同情况出具受理意见：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.对于申请材料不齐全或者不符合法定形式的，应当向申请人送达行政许可补正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，告知申请人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需要补正的全部材料、补正期限。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2.对于申请材料齐全、符合法定形式，或者申请人按要求提交全部补正申请材料的，应当向申请人送达行政许可受理通知书，并通知申请人自收到受理通知之日起10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日内提交公告材料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，由中国人民银行青岛市分行在其网站上连续公告下列事项20个工作日：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）拟设立非银行支付机构的注册资本和股权结构。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）主要股东名单和持股比例。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）实际控制人名单。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）拟申请的支付业务类型。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）拟设立非银行支付机构的经营场所。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）支付业务设施符合中国人民银行规定的业务规范、技术标准和安全要求说明材料。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公告期间，对于社会公众反映的申请人涉嫌提供虚假材料，申请人、主要股东和实际控制人涉嫌违法违规等情形，中国人民银行的分支机构应当进行核查，核查时间不计入审查时限。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3.对于申请事项依法不属于中国人民银行职权范围，或者申请人提供的补正材料不齐全、不符合法定形式的，应当及时做出不予受理的决定，向申请人送达不予受理行政许可决定书。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对于受理、不予受理或者要求补正申请材料的通知书，应当自相关文书作出之日起5个工作日内送达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初审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对申请材料进行审核，组织对申请人进行现场核查，并提前告知申请人有关核查事项。现场核查应通过询问工作人员、调阅档案资料、实地调查确认等方式开展。中国人民银行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结合材料审核、现场核查相关情况和公众反馈信息，形成支付业务许可审查初审意见报送中国人民银行总行。中国人民银行总行对申请材料进行复审和下达行政许可决定。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办结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时限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中国人民银行青岛市分行自受理申请之日起初步审查，并将申请材料和初步审查意见报送中国人民银行。中国人民银行自青岛市分行受理申请之日起6个月内作出批准或者不予批准的决定。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其中，《中国人民银行行政许可实施办法》（中国人民银行令〔2020〕第1号）第三十三条规定的相关程序不计入时限。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、收费依据及标准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不收费。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审批结果送达方式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中国人民银行总行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决定批准的，颁发支付业务许可证并予以公告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；决定不予批准的，应当书面通知申请人并说明理由。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通过中国人民银行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送达《支付业务许可证》或《不予行政许可决定书》。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相关决定10个工作日内通过中国人民银行青岛市分行及时送达申请人。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、行政相对人权利和义务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（一）依据《中华人民共和国行政许可法》等，申请人依法享有以下权利：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1.依法取得行政许可的平等权利；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2.依法申请行政复议和行政诉讼的权利。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（二）依据《中华人民共和国行政许可法》等，申请人依法履行以下义务：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1.保证申请材料实质内容的真实、准确和完整，无虚假记载、误导性陈述或重大遗漏；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2.配合中国人民银行工作人员做好材料签收交接手续；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3.按要求及时补正申请材料。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咨询途径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支付结算处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，联系电话：0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80896070。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、监督投诉渠道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信函投诉：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山东省青岛市市南区延安三路208号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（通讯地址），266071（邮编）。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、办公地址和时间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青岛市市南区延安三路208号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办公时间：工作日，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0-17: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、办理进程和结果公开查询</w:t>
      </w:r>
    </w:p>
    <w:p>
      <w:pPr>
        <w:widowControl w:val="0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在中国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初审通过的，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官方网站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青岛市分行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子网站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进行公示。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通过中国人民银行总行复审后审批的，将在中国人民银行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官方网站进行公告。</w:t>
      </w:r>
    </w:p>
    <w:p>
      <w:pPr>
        <w:widowControl w:val="0"/>
        <w:wordWrap/>
        <w:snapToGrid/>
        <w:spacing w:line="560" w:lineRule="exact"/>
        <w:ind w:right="0"/>
        <w:jc w:val="both"/>
        <w:textAlignment w:val="auto"/>
        <w:outlineLvl w:val="9"/>
        <w:rPr>
          <w:rFonts w:ascii="宋体" w:hAnsi="宋体" w:eastAsia="宋体" w:cs="宋体"/>
          <w:vanish/>
          <w:kern w:val="0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aperSrc w:first="0" w:oth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4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4459542">
    <w:nsid w:val="5FA21C16"/>
    <w:multiLevelType w:val="singleLevel"/>
    <w:tmpl w:val="5FA21C16"/>
    <w:lvl w:ilvl="0" w:tentative="1">
      <w:start w:val="11"/>
      <w:numFmt w:val="chineseCounting"/>
      <w:suff w:val="nothing"/>
      <w:lvlText w:val="%1、"/>
      <w:lvlJc w:val="left"/>
    </w:lvl>
  </w:abstractNum>
  <w:abstractNum w:abstractNumId="1604457898">
    <w:nsid w:val="5FA215AA"/>
    <w:multiLevelType w:val="singleLevel"/>
    <w:tmpl w:val="5FA215AA"/>
    <w:lvl w:ilvl="0" w:tentative="1">
      <w:start w:val="7"/>
      <w:numFmt w:val="chineseCounting"/>
      <w:suff w:val="nothing"/>
      <w:lvlText w:val="%1、"/>
      <w:lvlJc w:val="left"/>
    </w:lvl>
  </w:abstractNum>
  <w:num w:numId="1">
    <w:abstractNumId w:val="1604457898"/>
  </w:num>
  <w:num w:numId="2">
    <w:abstractNumId w:val="16044595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A35135"/>
    <w:rsid w:val="0156477D"/>
    <w:rsid w:val="01665A91"/>
    <w:rsid w:val="0172376C"/>
    <w:rsid w:val="033B1A75"/>
    <w:rsid w:val="0363333C"/>
    <w:rsid w:val="0363711D"/>
    <w:rsid w:val="03E531F1"/>
    <w:rsid w:val="045B5862"/>
    <w:rsid w:val="0487735B"/>
    <w:rsid w:val="053A2A1E"/>
    <w:rsid w:val="055D2DDD"/>
    <w:rsid w:val="068873AA"/>
    <w:rsid w:val="06B27E8C"/>
    <w:rsid w:val="06FE6C86"/>
    <w:rsid w:val="0701214C"/>
    <w:rsid w:val="08F80A3B"/>
    <w:rsid w:val="091210A7"/>
    <w:rsid w:val="0AC5723C"/>
    <w:rsid w:val="0ACD69C7"/>
    <w:rsid w:val="0B5B059E"/>
    <w:rsid w:val="0C2B128D"/>
    <w:rsid w:val="0D0B4762"/>
    <w:rsid w:val="0D5F198D"/>
    <w:rsid w:val="0E223E11"/>
    <w:rsid w:val="0E3648B4"/>
    <w:rsid w:val="102F4313"/>
    <w:rsid w:val="104C4DC9"/>
    <w:rsid w:val="10BF1885"/>
    <w:rsid w:val="11755719"/>
    <w:rsid w:val="119E7AC3"/>
    <w:rsid w:val="11D56E4F"/>
    <w:rsid w:val="1235767B"/>
    <w:rsid w:val="124D3078"/>
    <w:rsid w:val="124F2974"/>
    <w:rsid w:val="1284782C"/>
    <w:rsid w:val="12A7217B"/>
    <w:rsid w:val="12C04E35"/>
    <w:rsid w:val="131E2669"/>
    <w:rsid w:val="133F0DCC"/>
    <w:rsid w:val="13D16700"/>
    <w:rsid w:val="143D136A"/>
    <w:rsid w:val="14704F77"/>
    <w:rsid w:val="14B26303"/>
    <w:rsid w:val="14FE0980"/>
    <w:rsid w:val="15786FC5"/>
    <w:rsid w:val="1588725F"/>
    <w:rsid w:val="15C838CC"/>
    <w:rsid w:val="166730B7"/>
    <w:rsid w:val="16C06AA0"/>
    <w:rsid w:val="181E59F2"/>
    <w:rsid w:val="1A360B8D"/>
    <w:rsid w:val="1B3C5EBC"/>
    <w:rsid w:val="1BD71C34"/>
    <w:rsid w:val="1C8800DD"/>
    <w:rsid w:val="1C914E2C"/>
    <w:rsid w:val="1CE95E98"/>
    <w:rsid w:val="1CED5883"/>
    <w:rsid w:val="1CFD009B"/>
    <w:rsid w:val="1E47263C"/>
    <w:rsid w:val="1EE5196E"/>
    <w:rsid w:val="1F8F03D5"/>
    <w:rsid w:val="1FC73F54"/>
    <w:rsid w:val="205248CE"/>
    <w:rsid w:val="209A46B1"/>
    <w:rsid w:val="21382839"/>
    <w:rsid w:val="222251E3"/>
    <w:rsid w:val="23342190"/>
    <w:rsid w:val="24357195"/>
    <w:rsid w:val="24C51168"/>
    <w:rsid w:val="24E87C1C"/>
    <w:rsid w:val="27260759"/>
    <w:rsid w:val="27827560"/>
    <w:rsid w:val="281C1CDD"/>
    <w:rsid w:val="28266014"/>
    <w:rsid w:val="29B66F98"/>
    <w:rsid w:val="2AF46F08"/>
    <w:rsid w:val="2C8E2730"/>
    <w:rsid w:val="2CB23232"/>
    <w:rsid w:val="2DA31881"/>
    <w:rsid w:val="2E181F43"/>
    <w:rsid w:val="2EAB5D1F"/>
    <w:rsid w:val="2ECE62A1"/>
    <w:rsid w:val="2EF8259B"/>
    <w:rsid w:val="2F6333FE"/>
    <w:rsid w:val="2FBC024E"/>
    <w:rsid w:val="308E32EE"/>
    <w:rsid w:val="309262CA"/>
    <w:rsid w:val="31956E0D"/>
    <w:rsid w:val="31D82653"/>
    <w:rsid w:val="32D628E2"/>
    <w:rsid w:val="338F34C8"/>
    <w:rsid w:val="3393072B"/>
    <w:rsid w:val="33FA789D"/>
    <w:rsid w:val="34045566"/>
    <w:rsid w:val="34260F9E"/>
    <w:rsid w:val="349B0F5D"/>
    <w:rsid w:val="34C9402B"/>
    <w:rsid w:val="36DA728E"/>
    <w:rsid w:val="37B02769"/>
    <w:rsid w:val="37FC1069"/>
    <w:rsid w:val="384E6764"/>
    <w:rsid w:val="3A3B703B"/>
    <w:rsid w:val="3A654EA5"/>
    <w:rsid w:val="3AFB444F"/>
    <w:rsid w:val="3BBA06CA"/>
    <w:rsid w:val="3BBB488D"/>
    <w:rsid w:val="3C2F61AB"/>
    <w:rsid w:val="3C612A9D"/>
    <w:rsid w:val="3C640BB0"/>
    <w:rsid w:val="3E012549"/>
    <w:rsid w:val="3E120265"/>
    <w:rsid w:val="3E2F1D93"/>
    <w:rsid w:val="3E4F22C8"/>
    <w:rsid w:val="3F1E1CFC"/>
    <w:rsid w:val="3F3D1F51"/>
    <w:rsid w:val="401A063A"/>
    <w:rsid w:val="405E0828"/>
    <w:rsid w:val="40E20083"/>
    <w:rsid w:val="414B422F"/>
    <w:rsid w:val="41792A05"/>
    <w:rsid w:val="429C259A"/>
    <w:rsid w:val="43B91FE3"/>
    <w:rsid w:val="448C1D82"/>
    <w:rsid w:val="451C1350"/>
    <w:rsid w:val="455A1ED5"/>
    <w:rsid w:val="45800E60"/>
    <w:rsid w:val="45BE112B"/>
    <w:rsid w:val="46454957"/>
    <w:rsid w:val="46F54481"/>
    <w:rsid w:val="471A14B7"/>
    <w:rsid w:val="489158EF"/>
    <w:rsid w:val="48B50FEF"/>
    <w:rsid w:val="48D0281F"/>
    <w:rsid w:val="49260292"/>
    <w:rsid w:val="4B945762"/>
    <w:rsid w:val="4CD13297"/>
    <w:rsid w:val="4D5F43DE"/>
    <w:rsid w:val="4E6B7A27"/>
    <w:rsid w:val="4EB224FD"/>
    <w:rsid w:val="50537655"/>
    <w:rsid w:val="50583ADD"/>
    <w:rsid w:val="50711612"/>
    <w:rsid w:val="507A4656"/>
    <w:rsid w:val="50A151D6"/>
    <w:rsid w:val="50E5015E"/>
    <w:rsid w:val="50F31132"/>
    <w:rsid w:val="51AE1E90"/>
    <w:rsid w:val="52596AE0"/>
    <w:rsid w:val="52856670"/>
    <w:rsid w:val="53A000C2"/>
    <w:rsid w:val="54B7310D"/>
    <w:rsid w:val="54C77FC8"/>
    <w:rsid w:val="557621F4"/>
    <w:rsid w:val="559E7B87"/>
    <w:rsid w:val="559F1AC5"/>
    <w:rsid w:val="55B6522E"/>
    <w:rsid w:val="55BF35CD"/>
    <w:rsid w:val="55C155BD"/>
    <w:rsid w:val="56B93B57"/>
    <w:rsid w:val="56BE21DD"/>
    <w:rsid w:val="57256FAA"/>
    <w:rsid w:val="57520828"/>
    <w:rsid w:val="57BA117B"/>
    <w:rsid w:val="57D100D5"/>
    <w:rsid w:val="5826619B"/>
    <w:rsid w:val="586E66A0"/>
    <w:rsid w:val="58B31393"/>
    <w:rsid w:val="59911780"/>
    <w:rsid w:val="5A074243"/>
    <w:rsid w:val="5A521F27"/>
    <w:rsid w:val="5A6266E3"/>
    <w:rsid w:val="5A9F56BB"/>
    <w:rsid w:val="5B3A71AB"/>
    <w:rsid w:val="5CBA0217"/>
    <w:rsid w:val="5CD60B5E"/>
    <w:rsid w:val="5CF7490E"/>
    <w:rsid w:val="5CFA7890"/>
    <w:rsid w:val="5D4009DA"/>
    <w:rsid w:val="5DD67EA7"/>
    <w:rsid w:val="5DE35771"/>
    <w:rsid w:val="5E0B6EB9"/>
    <w:rsid w:val="5F8660EF"/>
    <w:rsid w:val="60160C30"/>
    <w:rsid w:val="603F5678"/>
    <w:rsid w:val="60C0095C"/>
    <w:rsid w:val="612358EA"/>
    <w:rsid w:val="61644155"/>
    <w:rsid w:val="62572CFB"/>
    <w:rsid w:val="62D74037"/>
    <w:rsid w:val="635F5245"/>
    <w:rsid w:val="63E11F6B"/>
    <w:rsid w:val="655547B2"/>
    <w:rsid w:val="65AA6698"/>
    <w:rsid w:val="65C06F7D"/>
    <w:rsid w:val="660B1308"/>
    <w:rsid w:val="66426252"/>
    <w:rsid w:val="66C47085"/>
    <w:rsid w:val="6716554D"/>
    <w:rsid w:val="6733381C"/>
    <w:rsid w:val="677B2AD6"/>
    <w:rsid w:val="6788436B"/>
    <w:rsid w:val="67E55718"/>
    <w:rsid w:val="68553FBE"/>
    <w:rsid w:val="68DF6B1A"/>
    <w:rsid w:val="69BB306C"/>
    <w:rsid w:val="69EA71DF"/>
    <w:rsid w:val="6A146F17"/>
    <w:rsid w:val="6A652199"/>
    <w:rsid w:val="6A9C1AEF"/>
    <w:rsid w:val="6B6555BF"/>
    <w:rsid w:val="6B816002"/>
    <w:rsid w:val="6B875C0F"/>
    <w:rsid w:val="6B932C0C"/>
    <w:rsid w:val="6C811B41"/>
    <w:rsid w:val="6D2D19CA"/>
    <w:rsid w:val="6D396A96"/>
    <w:rsid w:val="6D425B1E"/>
    <w:rsid w:val="6E5F6A5E"/>
    <w:rsid w:val="6ECA390C"/>
    <w:rsid w:val="6F614ECB"/>
    <w:rsid w:val="6F697D59"/>
    <w:rsid w:val="70132A02"/>
    <w:rsid w:val="7099044B"/>
    <w:rsid w:val="723039E4"/>
    <w:rsid w:val="72401A80"/>
    <w:rsid w:val="73293E3D"/>
    <w:rsid w:val="735A0118"/>
    <w:rsid w:val="736A5202"/>
    <w:rsid w:val="73C26F68"/>
    <w:rsid w:val="74112A02"/>
    <w:rsid w:val="74C10B3B"/>
    <w:rsid w:val="74C341CC"/>
    <w:rsid w:val="758307CC"/>
    <w:rsid w:val="78D20C44"/>
    <w:rsid w:val="78FB3E26"/>
    <w:rsid w:val="790F656D"/>
    <w:rsid w:val="7984488B"/>
    <w:rsid w:val="7A302C05"/>
    <w:rsid w:val="7A392B15"/>
    <w:rsid w:val="7A92780A"/>
    <w:rsid w:val="7AC932FE"/>
    <w:rsid w:val="7AF076DA"/>
    <w:rsid w:val="7B9B52E3"/>
    <w:rsid w:val="7D396759"/>
    <w:rsid w:val="7D8524B6"/>
    <w:rsid w:val="7DC3260C"/>
    <w:rsid w:val="7E32369A"/>
    <w:rsid w:val="7E4F20C5"/>
    <w:rsid w:val="7EA578B8"/>
    <w:rsid w:val="7F705A57"/>
    <w:rsid w:val="7FBB760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link w:val="17"/>
    <w:unhideWhenUsed/>
    <w:qFormat/>
    <w:uiPriority w:val="99"/>
    <w:rPr>
      <w:rFonts w:hint="eastAsia" w:ascii="宋体" w:hAnsi="Courier New" w:eastAsia="宋体" w:cs="Times New Roman"/>
      <w:kern w:val="0"/>
      <w:sz w:val="20"/>
      <w:szCs w:val="20"/>
      <w:lang w:val="en-US" w:eastAsia="zh-CN" w:bidi="ar-SA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nhideWhenUsed/>
    <w:uiPriority w:val="99"/>
    <w:pPr>
      <w:ind w:firstLine="640"/>
    </w:pPr>
    <w:rPr>
      <w:rFonts w:hint="eastAsia" w:ascii="仿宋_GB2312" w:eastAsia="仿宋_GB2312"/>
      <w:sz w:val="30"/>
      <w:szCs w:val="3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nhideWhenUsed/>
    <w:uiPriority w:val="99"/>
    <w:rPr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附注"/>
    <w:basedOn w:val="16"/>
    <w:uiPriority w:val="0"/>
    <w:pPr>
      <w:ind w:firstLine="482" w:firstLineChars="200"/>
    </w:pPr>
    <w:rPr>
      <w:bCs/>
    </w:rPr>
  </w:style>
  <w:style w:type="paragraph" w:customStyle="1" w:styleId="16">
    <w:name w:val="表格正文"/>
    <w:basedOn w:val="1"/>
    <w:uiPriority w:val="0"/>
    <w:pPr>
      <w:snapToGrid w:val="0"/>
      <w:spacing w:line="460" w:lineRule="exact"/>
    </w:pPr>
    <w:rPr>
      <w:rFonts w:ascii="宋体" w:hAnsi="宋体"/>
      <w:sz w:val="24"/>
      <w:szCs w:val="21"/>
    </w:rPr>
  </w:style>
  <w:style w:type="character" w:customStyle="1" w:styleId="17">
    <w:name w:val="纯文本 Char Char"/>
    <w:basedOn w:val="9"/>
    <w:link w:val="3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8">
    <w:name w:val="批注框文本 Char Char"/>
    <w:basedOn w:val="9"/>
    <w:link w:val="4"/>
    <w:qFormat/>
    <w:uiPriority w:val="99"/>
    <w:rPr>
      <w:sz w:val="18"/>
      <w:szCs w:val="18"/>
    </w:rPr>
  </w:style>
  <w:style w:type="character" w:customStyle="1" w:styleId="19">
    <w:name w:val="页眉 Char Char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Char Char"/>
    <w:basedOn w:val="9"/>
    <w:link w:val="5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5"/>
    <w:uiPriority w:val="0"/>
    <w:rPr>
      <w:kern w:val="2"/>
      <w:sz w:val="18"/>
      <w:szCs w:val="18"/>
    </w:rPr>
  </w:style>
  <w:style w:type="character" w:customStyle="1" w:styleId="22">
    <w:name w:val="页眉 Char"/>
    <w:basedOn w:val="9"/>
    <w:link w:val="6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1120</Words>
  <Characters>6384</Characters>
  <Lines>53</Lines>
  <Paragraphs>14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2019-03-21T07:05:00Z</dcterms:created>
  <dc:creator>Windows 用户</dc:creator>
  <cp:lastModifiedBy>孙铭浩</cp:lastModifiedBy>
  <cp:lastPrinted>2020-11-11T09:01:00Z</cp:lastPrinted>
  <dcterms:modified xsi:type="dcterms:W3CDTF">2025-09-01T06:07:52Z</dcterms:modified>
  <dc:title>《支付业务许可证》初审服务指南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